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4"/>
        </w:rPr>
        <w:t>CỘNG HÒA XÃ HỘI CHỦ NGHĨA VIỆT NAM</w:t>
        <w:br/>
        <w:t>Độc lập - Tự do - Hạnh phúc</w:t>
        <w:br/>
        <w:t>-------------------</w:t>
      </w:r>
    </w:p>
    <w:p>
      <w:pPr>
        <w:jc w:val="center"/>
      </w:pPr>
      <w:r>
        <w:rPr>
          <w:rFonts w:ascii="Times New Roman" w:hAnsi="Times New Roman"/>
          <w:b/>
          <w:color w:val="0F4C81"/>
          <w:sz w:val="26"/>
        </w:rPr>
        <w:br/>
        <w:t>SỔ TAY HƯỚNG DẪN THỦ TỤC GIA HẠN CHỮ KÝ SỐ VÀ CẬP NHẬT CHỨNG THƯ SỐ LÊN CỔNG THUẾ ĐIỆN TỬ (ETAX), BẢO HIỂM XÃ HỘI (EBHXH) VÀ HẢI QUAN (VNACCS)</w:t>
        <w:br/>
        <w:t>(Ban hành kèm theo Quy chế an toàn giao dịch điện tử - Chuẩn hóa Nghị định 30/2020/NĐ-CP)</w:t>
      </w:r>
    </w:p>
    <w:p>
      <w:r>
        <w:t>Kính gửi: Ban Giám Đốc, Bộ phận Kế toán - Thuế, Bộ phận Nhân sự &amp; Phòng Xuất Nhập Khẩu</w:t>
      </w:r>
    </w:p>
    <w:p>
      <w:pPr>
        <w:pStyle w:val="Heading1"/>
      </w:pPr>
      <w:r>
        <w:t>I. CĂN CỨ PHÁP LÝ QUY ĐỊNH GIAO DỊCH ĐIỆN TỬ VÀ CHỮ KÝ SỐ NĂM 2026</w:t>
      </w:r>
    </w:p>
    <w:p>
      <w:r>
        <w:t>1. Luật Quản lý thuế số 38/2019/QH14: Điều 17 quy định nghĩa vụ giao dịch điện tử của người nộp thuế; Điều 44 về thời hạn nộp hồ sơ khai thuế và báo cáo tài chính; Điều 59 quy định tiền chậm nộp 0,03%/ngày.</w:t>
        <w:br/>
        <w:t>2. Luật Giao dịch điện tử số 20/2023/QH15 (Có hiệu lực thi hành từ ngày 01/07/2024): Quy định giá trị pháp lý của chữ ký số công cộng tương đương chữ ký tay và con dấu của tổ chức.</w:t>
        <w:br/>
        <w:t>3. Nghị định số 130/2018/NĐ-CP của Chính phủ: Quy định chi tiết thi hành Luật Giao dịch điện tử về chữ ký số và dịch vụ chứng thực chữ ký số công cộng (thủ tục cấp mới, gia hạn, thay đổi cặp khóa chứng thư số).</w:t>
        <w:br/>
        <w:t>4. Thông tư số 19/2021/TT-BTC của Bộ Tài chính: Điều 14 quy định quy trình thay đổi thông tin đăng ký thuế điện tử, cập nhật số serial chứng thư số mới trên hệ thống Thuedientu (eTax).</w:t>
        <w:br/>
        <w:t>5. Quyết định số 899/QĐ-BHXH và Quyết định 595/QĐ-BHXH của BHXH Việt Nam: Quy chế quản lý, khai thác và sử dụng chữ ký số trong thủ tục giao dịch điện tử BHXH.</w:t>
        <w:br/>
        <w:t>6. Nghị định số 125/2020/NĐ-CP: Điều 13 quy định mức phạt vi phạm hành chính nộp chậm hồ sơ khai thuế từ 2.000.000 đến 25.000.000 đồng do sự cố chữ ký số chủ quan.</w:t>
      </w:r>
    </w:p>
    <w:p>
      <w:pPr>
        <w:pStyle w:val="Heading1"/>
      </w:pPr>
      <w:r>
        <w:t>II. QUY TRÌNH 4 BƯỚC GIA HẠN VÀ ĐỒNG BỘ CHỨNG THƯ SỐ MỚI</w:t>
      </w:r>
    </w:p>
    <w:p>
      <w:r>
        <w:t>Bước 1: Rà soát thời hạn chứng thư số trước ngày hết hạn tối thiểu 15 - 30 ngày. Liên hệ đại lý chính hãng Chữ Ký Số Tốt (Mai Gia) để nộp hồ sơ gia hạn.</w:t>
        <w:br/>
        <w:t>Bước 2: Cập nhật chứng thư số mới vào USB Token (Gen khóa mới / nạp chứng thư số mới qua tiện ích Token Manager).</w:t>
        <w:br/>
        <w:t>Bước 3: Cập nhật số Serial chứng thư số mới lên Cổng Thuế điện tử (thuedientu.gdt.gov.vn):</w:t>
        <w:br/>
        <w:t xml:space="preserve">   - Đăng nhập tài khoản quản trị (MST-QL).</w:t>
        <w:br/>
        <w:t xml:space="preserve">   - Vào Quản lý tài khoản -&gt; Thay đổi thông tin dịch vụ -&gt; Cập nhật CKS nộp tờ khai và CKS nộp thuế điện tử.</w:t>
        <w:br/>
        <w:t xml:space="preserve">   - Ký số điện tử bằng mật khẩu PIN của USB Token để hoàn tất đăng ký.</w:t>
        <w:br/>
        <w:t>Bước 4: Cập nhật số Serial lên Cổng Dịch vụ công BHXH / phần mềm eBHXH và Hệ thống VNACCS của Hải quan.</w:t>
      </w:r>
    </w:p>
    <w:p>
      <w:pPr>
        <w:pStyle w:val="Heading1"/>
      </w:pPr>
      <w:r>
        <w:t>III. MẪU VĂN BẢN ĐỀ NGHỊ CẬP NHẬT CHỨNG THƯ SỐ / GIẢI TRÌNH SỰ CỐ KỸ THUẬT (CHUẨN NGHỊ ĐỊNH 30/2020/NĐ-CP)</w:t>
      </w:r>
    </w:p>
    <w:p>
      <w:r>
        <w:t>CỘNG HÒA XÃ HỘI CHỦ NGHĨA VIỆT NAM</w:t>
        <w:br/>
        <w:t>Độc lập - Tự do - Hạnh phúc</w:t>
        <w:br/>
        <w:br/>
        <w:t>Số: .../CV-DN</w:t>
        <w:br/>
        <w:t>V/v: Giải trình sự cố gia hạn chữ ký số và đề nghị hỗ trợ ghi nhận thời hạn nộp tờ khai</w:t>
        <w:br/>
        <w:br/>
        <w:t>Kính gửi: Chi cục Thuế / Bảo hiểm xã hội quận/huyện/khu vực...</w:t>
        <w:br/>
        <w:br/>
        <w:t>1. Thông tin doanh nghiệp:</w:t>
        <w:br/>
        <w:t>- Tên doanh nghiệp: [Tên đầy đủ theo ĐKKD]</w:t>
        <w:br/>
        <w:t>- Mã số thuế: [Mã số thuế]</w:t>
        <w:br/>
        <w:t>- Địa chỉ trụ sở: [Địa chỉ đăng ký]</w:t>
        <w:br/>
        <w:t>- Người đại diện theo pháp luật: [Họ và tên - Chức vụ]</w:t>
        <w:br/>
        <w:br/>
        <w:t>2. Nội dung giải trình sự cố kỹ thuật:</w:t>
        <w:br/>
        <w:t>Doanh nghiệp đã tiến hành thủ tục gia hạn chứng thư số vào ngày .../.../2026. Trong quá trình đồng bộ số Serial mới lên hệ thống, cổng giao dịch phát sinh lỗi kỹ thuật khách quan dẫn đến thời điểm truyền nhận hồ sơ khai thuế bị gián đoạn...</w:t>
        <w:br/>
        <w:t>Căn cứ Điều 9 Nghị định 125/2020/NĐ-CP về các trường hợp không xử phạt vi phạm hành chính về thuế do sự cố kỹ thuật của nhà cung cấp dịch vụ mạng / giao dịch điện tử, doanh nghiệp kính đề nghị Quý cơ quan xem xét, tạo điều kiện cập nhật số Serial mới và không áp dụng chế tài phạt nộp chậm...</w:t>
        <w:br/>
        <w:br/>
        <w:t>Đại diện doanh nghiệp</w:t>
        <w:br/>
        <w:t>(Ký, ghi rõ họ tên và đóng dấu)</w:t>
      </w:r>
    </w:p>
    <w:sectPr w:rsidR="00FC693F" w:rsidRPr="0006063C" w:rsidSect="00034616">
      <w:pgSz w:w="12240" w:h="15840"/>
      <w:pgMar w:top="1152" w:right="1152"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