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2"/>
        </w:rPr>
        <w:t>CÔNG TY TNHH THƯƠNG MẠI DỊCH VỤ XUẤT NHẬP KHẨU MAI GIA</w:t>
        <w:br/>
        <w:t>Số: 01/2026/SOP-XNK-VNSW</w:t>
        <w:br/>
        <w:t>-------------------</w:t>
      </w:r>
    </w:p>
    <w:p>
      <w:pPr>
        <w:jc w:val="center"/>
      </w:pPr>
      <w:r>
        <w:rPr>
          <w:rFonts w:ascii="Times New Roman" w:hAnsi="Times New Roman"/>
          <w:b/>
          <w:color w:val="0B3C5D"/>
          <w:sz w:val="26"/>
        </w:rPr>
        <w:br/>
        <w:t>QUY TRÌNH VẬN HÀNH CHUẨN (SOP)</w:t>
        <w:br/>
        <w:t>CÀI ĐẶT CHỨNG THƯ SỐ VÀ KÝ SỐ XIN CẤP GIẤY CHỨNG NHẬN</w:t>
        <w:br/>
        <w:t>XUẤT XỨ HÀNG HÓA (C/O) ĐIỆN TỬ TRÊN CỔNG VNSW</w:t>
      </w:r>
    </w:p>
    <w:p>
      <w:r>
        <w:rPr>
          <w:b/>
        </w:rPr>
        <w:t>CĂN CỨ PHÁP LÝ THỰC HIỆN:</w:t>
      </w:r>
    </w:p>
    <w:p>
      <w:pPr>
        <w:ind w:left="288"/>
      </w:pPr>
      <w:r>
        <w:rPr>
          <w:rFonts w:ascii="Times New Roman" w:hAnsi="Times New Roman"/>
          <w:sz w:val="21"/>
        </w:rPr>
        <w:t>- Luật Giao dịch điện tử số 20/2023/QH15.</w:t>
      </w:r>
    </w:p>
    <w:p>
      <w:pPr>
        <w:ind w:left="288"/>
      </w:pPr>
      <w:r>
        <w:rPr>
          <w:rFonts w:ascii="Times New Roman" w:hAnsi="Times New Roman"/>
          <w:sz w:val="21"/>
        </w:rPr>
        <w:t>- Luật Quản lý ngoại thương số 05/2017/QH14.</w:t>
      </w:r>
    </w:p>
    <w:p>
      <w:pPr>
        <w:ind w:left="288"/>
      </w:pPr>
      <w:r>
        <w:rPr>
          <w:rFonts w:ascii="Times New Roman" w:hAnsi="Times New Roman"/>
          <w:sz w:val="21"/>
        </w:rPr>
        <w:t>- Nghị định số 31/2018/NĐ-CP ngày 08/03/2018 của Chính phủ quy định về xuất xứ hàng hóa.</w:t>
      </w:r>
    </w:p>
    <w:p>
      <w:pPr>
        <w:ind w:left="288"/>
      </w:pPr>
      <w:r>
        <w:rPr>
          <w:rFonts w:ascii="Times New Roman" w:hAnsi="Times New Roman"/>
          <w:sz w:val="21"/>
        </w:rPr>
        <w:t>- Thông tư số 38/2018/TT-BTC và Thông tư 62/2019/TT-BTC của Bộ Tài chính.</w:t>
      </w:r>
    </w:p>
    <w:p>
      <w:pPr>
        <w:ind w:left="288"/>
      </w:pPr>
      <w:r>
        <w:rPr>
          <w:rFonts w:ascii="Times New Roman" w:hAnsi="Times New Roman"/>
          <w:sz w:val="21"/>
        </w:rPr>
        <w:t>- Quyết định số 1254/QĐ-TTg của Thủ tướng Chính phủ về thúc đẩy Cơ chế một cửa quốc gia.</w:t>
      </w:r>
    </w:p>
    <w:p>
      <w:pPr>
        <w:spacing w:before="160"/>
      </w:pPr>
      <w:r>
        <w:rPr>
          <w:rFonts w:ascii="Times New Roman" w:hAnsi="Times New Roman"/>
          <w:b/>
          <w:color w:val="0B3C5D"/>
          <w:sz w:val="23"/>
        </w:rPr>
        <w:t>MỤC I: MỤC ĐÍCH VÀ PHẠM VI</w:t>
      </w:r>
    </w:p>
    <w:p>
      <w:pPr>
        <w:ind w:left="288"/>
      </w:pPr>
      <w:r>
        <w:rPr>
          <w:rFonts w:ascii="Times New Roman" w:hAnsi="Times New Roman"/>
          <w:sz w:val="21"/>
        </w:rPr>
        <w:t>1. Hướng dẫn toàn diện cho Cán bộ chứng từ xuất nhập khẩu (Logistics Documentation Officer) thao tác ký số hồ sơ xin cấp C/O điện tử (Form D, E, AK, AJ, EUR.1, CPTPP...) trên Cổng VNSW và eCoSys.</w:t>
      </w:r>
    </w:p>
    <w:p>
      <w:pPr>
        <w:ind w:left="288"/>
      </w:pPr>
      <w:r>
        <w:rPr>
          <w:rFonts w:ascii="Times New Roman" w:hAnsi="Times New Roman"/>
          <w:sz w:val="21"/>
        </w:rPr>
        <w:t>2. Đảm bảo tỷ lệ ký số thành công 100%, rút ngắn thời gian phê duyệt hồ sơ xuất khẩu xuống dưới 4 giờ làm việc.</w:t>
      </w:r>
    </w:p>
    <w:p>
      <w:pPr>
        <w:spacing w:before="160"/>
      </w:pPr>
      <w:r>
        <w:rPr>
          <w:rFonts w:ascii="Times New Roman" w:hAnsi="Times New Roman"/>
          <w:b/>
          <w:color w:val="0B3C5D"/>
          <w:sz w:val="23"/>
        </w:rPr>
        <w:t>MỤC II: QUY TRÌNH THỰC HIỆN 4 BƯỚC</w:t>
      </w:r>
    </w:p>
    <w:p>
      <w:pPr>
        <w:ind w:left="288"/>
      </w:pPr>
      <w:r>
        <w:rPr>
          <w:rFonts w:ascii="Times New Roman" w:hAnsi="Times New Roman"/>
          <w:sz w:val="21"/>
        </w:rPr>
        <w:t>1. Chuẩn bị: Kiểm tra hạn dùng USB Token (tối thiểu còn &gt; 30 ngày), cắm token, mở ứng dụng VNSW Signer Plugin ở khay hệ thống.</w:t>
      </w:r>
    </w:p>
    <w:p>
      <w:pPr>
        <w:ind w:left="288"/>
      </w:pPr>
      <w:r>
        <w:rPr>
          <w:rFonts w:ascii="Times New Roman" w:hAnsi="Times New Roman"/>
          <w:sz w:val="21"/>
        </w:rPr>
        <w:t>2. Đăng ký thông tin: Đăng nhập VNSW, cập nhật số sê-ri chứng thư số mới nếu vừa gia hạn.</w:t>
      </w:r>
    </w:p>
    <w:p>
      <w:pPr>
        <w:ind w:left="288"/>
      </w:pPr>
      <w:r>
        <w:rPr>
          <w:rFonts w:ascii="Times New Roman" w:hAnsi="Times New Roman"/>
          <w:sz w:val="21"/>
        </w:rPr>
        <w:t>3. Lập hồ sơ: Khai báo chi tiết Invoice, Vận đơn, Tờ khai hải quan thông quan và bảng kê tiêu chí xuất xứ RVC/CTC.</w:t>
      </w:r>
    </w:p>
    <w:p>
      <w:pPr>
        <w:ind w:left="288"/>
      </w:pPr>
      <w:r>
        <w:rPr>
          <w:rFonts w:ascii="Times New Roman" w:hAnsi="Times New Roman"/>
          <w:sz w:val="21"/>
        </w:rPr>
        <w:t>4. Ký số và nộp hồ sơ: Chọn chứng thư số, nhập mã PIN token, xác nhận chữ ký điện tử và theo dõi trạng thái tiếp nhận.</w:t>
      </w:r>
    </w:p>
    <w:p>
      <w:pPr>
        <w:spacing w:before="160"/>
      </w:pPr>
      <w:r>
        <w:rPr>
          <w:rFonts w:ascii="Times New Roman" w:hAnsi="Times New Roman"/>
          <w:b/>
          <w:color w:val="0B3C5D"/>
          <w:sz w:val="23"/>
        </w:rPr>
        <w:t>MỤC III: TRÁCH NHIỆM BẢO QUẢN THIẾT BỊ KÝ SỐ NGOẠI THƯƠNG</w:t>
      </w:r>
    </w:p>
    <w:p>
      <w:pPr>
        <w:ind w:left="288"/>
      </w:pPr>
      <w:r>
        <w:rPr>
          <w:rFonts w:ascii="Times New Roman" w:hAnsi="Times New Roman"/>
          <w:sz w:val="21"/>
        </w:rPr>
        <w:t>1. Nhân viên chứng từ được giao quản lý token chuyên dùng cho XNK chịu trách nhiệm bảo mật mã PIN, không chia sẻ cho bên ngoài.</w:t>
      </w:r>
    </w:p>
    <w:p>
      <w:pPr>
        <w:ind w:left="288"/>
      </w:pPr>
      <w:r>
        <w:rPr>
          <w:rFonts w:ascii="Times New Roman" w:hAnsi="Times New Roman"/>
          <w:sz w:val="21"/>
        </w:rPr>
        <w:t>2. Bàn giao lại thiết bị và sổ theo dõi khi nghỉ phép hoặc điều chuyển công tác.</w:t>
      </w:r>
    </w:p>
    <w:p>
      <w:pPr>
        <w:spacing w:before="320"/>
        <w:jc w:val="right"/>
      </w:pPr>
      <w:r>
        <w:rPr>
          <w:rFonts w:ascii="Times New Roman" w:hAnsi="Times New Roman"/>
          <w:b/>
          <w:sz w:val="23"/>
        </w:rPr>
        <w:t>GIÁM ĐỐC KHỐI XUẤT NHẬP KHẨU</w:t>
        <w:br/>
        <w:t>(Ký và phê duyệt quy trình)</w:t>
      </w:r>
    </w:p>
    <w:sectPr w:rsidR="00FC693F" w:rsidRPr="0006063C" w:rsidSect="00034616">
      <w:pgSz w:w="12240" w:h="15840"/>
      <w:pgMar w:top="1152" w:right="1152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