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1"/>
        </w:rPr>
        <w:t>CỘNG HÒA XÃ HỘI CHỦ NGHĨA VIỆT NAM</w:t>
        <w:br/>
      </w:r>
      <w:r>
        <w:rPr>
          <w:b/>
          <w:sz w:val="22"/>
        </w:rPr>
        <w:t>Độc lập - Tự do - Hạnh phúc</w:t>
        <w:br/>
      </w:r>
      <w:r>
        <w:rPr>
          <w:sz w:val="20"/>
        </w:rPr>
        <w:t>-----------------------</w:t>
      </w:r>
    </w:p>
    <w:p>
      <w:pPr>
        <w:jc w:val="right"/>
      </w:pPr>
      <w:r>
        <w:rPr>
          <w:i/>
          <w:color w:val="475569"/>
          <w:sz w:val="19"/>
        </w:rPr>
        <w:t>Hà Nội, ngày 06 tháng 10 năm 2026</w:t>
        <w:br/>
        <w:t>Số: 05/2026/QC-VPĐT</w:t>
      </w:r>
    </w:p>
    <w:p>
      <w:pPr>
        <w:spacing w:before="240" w:after="280"/>
        <w:jc w:val="center"/>
      </w:pPr>
      <w:r>
        <w:rPr>
          <w:b/>
          <w:color w:val="0F172A"/>
          <w:sz w:val="28"/>
        </w:rPr>
        <w:t>QUY CHẾ QUẢN LÝ VĂN BẢN VÀ LƯU TRỮ HỒ SƠ ĐIỆN TỬ NỘI BỘ (PAPERLESS OFFICE)</w:t>
      </w:r>
    </w:p>
    <w:p>
      <w:r>
        <w:rPr>
          <w:b/>
          <w:color w:val="0369A1"/>
          <w:sz w:val="24"/>
        </w:rPr>
        <w:t>CHƯƠNG I: QUY ĐỊNH CHUNG VÀ CĂN CỨ PHÁP LÝ</w:t>
      </w:r>
    </w:p>
    <w:p>
      <w:r>
        <w:t>- Căn cứ Luật Giao dịch điện tử số 20/2023/QH15 có hiệu lực thi hành từ ngày 01/07/2024;</w:t>
        <w:br/>
        <w:t>- Căn cứ Luật Kế toán số 56/2024/QH15 cho phép 100% chứng từ kế toán lập và lưu trữ dưới dạng điện tử;</w:t>
        <w:br/>
        <w:t>- Căn cứ Nghị định số 30/2020/NĐ-CP của Chính phủ về công tác văn thư và thể thức văn bản điện tử;</w:t>
        <w:br/>
        <w:t>- Căn cứ Nghị định số 13/2023/NĐ-CP về bảo vệ dữ liệu cá nhân;</w:t>
        <w:br/>
        <w:t>- Căn cứ Bộ luật Lao động số 45/2019/QH14 (Điều 14) công nhận Hợp đồng lao động điện tử ký số.</w:t>
        <w:br/>
        <w:t>Quy chế này quy định nguyên tắc chuyển đổi số toàn diện: Triệt tiêu in ấn giấy tờ vật lý, áp dụng ký số 100% đối với văn bản điều hành, chứng từ kế toán và hợp đồng lao động tại Công ty Mai Gia.</w:t>
      </w:r>
    </w:p>
    <w:p>
      <w:r>
        <w:rPr>
          <w:b/>
          <w:color w:val="0369A1"/>
          <w:sz w:val="24"/>
        </w:rPr>
        <w:t>CHƯƠNG II: DANH MỤC VĂN BẢN VÀ CHỨNG TỪ NỘI BỘ BẮT BUỘC KÝ SỐ</w:t>
      </w:r>
    </w:p>
    <w:p>
      <w:r>
        <w:t>1. Khối Nhân sự - Hành chính:</w:t>
        <w:br/>
        <w:t xml:space="preserve">   - Hợp đồng lao động, phụ lục HĐLĐ, cam kết bảo mật thông tin (NDA);</w:t>
        <w:br/>
        <w:t xml:space="preserve">   - Quyết định bổ nhiệm, điều chuyển, khen thưởng, kỷ luật;</w:t>
        <w:br/>
        <w:t xml:space="preserve">   - Giấy đề nghị nghỉ phép, phiếu đánh giá KPI, biên bản họp giao ban.</w:t>
        <w:br/>
        <w:t>2. Khối Tài chính - Kế toán:</w:t>
        <w:br/>
        <w:t xml:space="preserve">   - Phiếu thu, Phiếu chi, Phiếu xuất kho, Phiếu nhập kho điện tử;</w:t>
        <w:br/>
        <w:t xml:space="preserve">   - Giấy đề nghị tạm ứng, Bảng thanh toán tiền lương, Bảng kê chi phí công tác;</w:t>
        <w:br/>
        <w:t xml:space="preserve">   - Hợp đồng kinh tế song phương và biên bản nghiệm thu thanh lý hợp đồng.</w:t>
        <w:br/>
        <w:t>3. Khối Kinh doanh &amp; Xuất nhập khẩu:</w:t>
        <w:br/>
        <w:t xml:space="preserve">   - Đơn đặt hàng (Purchase Order), Báo giá chính thức, Hợp đồng ngoại thương;</w:t>
        <w:br/>
        <w:t xml:space="preserve">   - Biên bản bàn giao thiết bị chữ ký số và hồ sơ cấp bù thời hạn bảo hành.</w:t>
      </w:r>
    </w:p>
    <w:p>
      <w:r>
        <w:rPr>
          <w:b/>
          <w:color w:val="0369A1"/>
          <w:sz w:val="24"/>
        </w:rPr>
        <w:t>CHƯƠNG III: PHÂN QUYỀN VÀ TRÁCH NHIỆM BẢO MẬT CHỮ KÝ SỐ</w:t>
      </w:r>
    </w:p>
    <w:p>
      <w:r>
        <w:t>1. Ban Giám Đốc: Sử dụng Chữ ký số từ xa SmartCA trên thiết bị di động cá nhân bảo đảm ký duyệt mọi lúc mọi nơi; ủy quyền cho Phó Giám đốc theo văn bản pháp lý hợp lệ.</w:t>
        <w:br/>
        <w:t>2. Kế toán trưởng: Chịu trách nhiệm bảo quản USB Token doanh nghiệp và chứng thư số cá nhân; nghiêm cấm giao mã PIN Token cho nhân viên cấp dưới tự ý ký duyệt.</w:t>
        <w:br/>
        <w:t>3. Trưởng các bộ phận: Sử dụng chữ ký số cá nhân được công ty cấp phát để ký nháy và ký xác nhận các tờ trình chuyên môn.</w:t>
        <w:br/>
        <w:t>4. Cơ chế lưu trữ an toàn (Local-first): Toàn bộ văn bản điện tử ký số định dạng PDF PAdES phải được sao lưu đồng thời lên máy chủ nội bộ và hệ thống lưu trữ mạng NAS Synology, bảo đảm lưu trữ tối thiểu 10 năm theo Luật Kế toán.</w:t>
      </w:r>
    </w:p>
    <w:p>
      <w:pPr>
        <w:spacing w:before="320"/>
      </w:pPr>
      <w:r>
        <w:br/>
        <w:t>ĐẠI DIỆN CÔNG ĐOÀN                                   TỔNG GIÁM ĐỐC</w:t>
        <w:br/>
        <w:t>(Ký, ghi rõ họ tên)                                   (Ký, đóng dấu)</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94A3B8"/>
        <w:sz w:val="17"/>
      </w:rPr>
      <w:t>Tài liệu nghiệp vụ chuẩn hóa pháp lý năm 2026 - Bản quyền thuộc Mai Gia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4748B"/>
        <w:sz w:val="17"/>
      </w:rPr>
      <w:t>CÔNG TY TNHH TM DV XNK MAI GIA | CHUKYSOTOT.VN - GIẢI PHÁP CHỮ KÝ SỐ DOANH NGHIỆP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