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sz w:val="22"/>
        </w:rPr>
        <w:t>CÔNG TY TNHH THƯƠNG MẠI DỊCH VỤ XUẤT NHẬP KHẨU MAI GIA</w:t>
        <w:br/>
        <w:t>Số: 02/2026/QC-AN-TOKEN</w:t>
        <w:br/>
        <w:t>-------------------</w:t>
      </w:r>
    </w:p>
    <w:p>
      <w:pPr>
        <w:jc w:val="center"/>
      </w:pPr>
      <w:r>
        <w:rPr>
          <w:rFonts w:ascii="Times New Roman" w:hAnsi="Times New Roman"/>
          <w:b/>
          <w:color w:val="800020"/>
          <w:sz w:val="26"/>
        </w:rPr>
        <w:br/>
        <w:t>QUY CHẾ NỘI BỘ VỀ PHÂN QUYỀN, QUẢN LÝ VÀ ỦY QUYỀN</w:t>
        <w:br/>
        <w:t>SỬ DỤNG CHỮ KÝ SỐ KÊ KHAI BẢO HIỂM XÃ HỘI ĐIỆN TỬ (eBHXH)</w:t>
      </w:r>
    </w:p>
    <w:p>
      <w:r>
        <w:rPr>
          <w:b/>
        </w:rPr>
        <w:t>CĂN CỨ BAN HÀNH:</w:t>
      </w:r>
    </w:p>
    <w:p>
      <w:pPr>
        <w:ind w:left="288"/>
      </w:pPr>
      <w:r>
        <w:rPr>
          <w:rFonts w:ascii="Times New Roman" w:hAnsi="Times New Roman"/>
          <w:sz w:val="21"/>
        </w:rPr>
        <w:t>- Luật Giao dịch điện tử số 20/2023/QH15 (Điều 22, 23, 24 về quản lý chữ ký số).</w:t>
      </w:r>
    </w:p>
    <w:p>
      <w:pPr>
        <w:ind w:left="288"/>
      </w:pPr>
      <w:r>
        <w:rPr>
          <w:rFonts w:ascii="Times New Roman" w:hAnsi="Times New Roman"/>
          <w:sz w:val="21"/>
        </w:rPr>
        <w:t>- Bộ luật Dân sự số 91/2015/QH13 (Quy định về Đại diện theo ủy quyền).</w:t>
      </w:r>
    </w:p>
    <w:p>
      <w:pPr>
        <w:ind w:left="288"/>
      </w:pPr>
      <w:r>
        <w:rPr>
          <w:rFonts w:ascii="Times New Roman" w:hAnsi="Times New Roman"/>
          <w:sz w:val="21"/>
        </w:rPr>
        <w:t>- Quyết định số 838/QĐ-BHXH của Tổng Giám đốc Bảo hiểm Xã hội Việt Nam.</w:t>
      </w:r>
    </w:p>
    <w:p>
      <w:pPr>
        <w:ind w:left="288"/>
      </w:pPr>
      <w:r>
        <w:rPr>
          <w:rFonts w:ascii="Times New Roman" w:hAnsi="Times New Roman"/>
          <w:sz w:val="21"/>
        </w:rPr>
        <w:t>- Luật An toàn thông tin mạng số 86/2015/QH13.</w:t>
      </w:r>
    </w:p>
    <w:p>
      <w:pPr>
        <w:spacing w:before="160"/>
      </w:pPr>
      <w:r>
        <w:rPr>
          <w:rFonts w:ascii="Times New Roman" w:hAnsi="Times New Roman"/>
          <w:b/>
          <w:color w:val="800020"/>
          <w:sz w:val="23"/>
        </w:rPr>
        <w:t>ĐIỀU 1. LỆNH CẤM BÀN GIAO USB TOKEN GIÁM ĐỐC</w:t>
      </w:r>
    </w:p>
    <w:p>
      <w:pPr>
        <w:ind w:left="288"/>
      </w:pPr>
      <w:r>
        <w:rPr>
          <w:rFonts w:ascii="Times New Roman" w:hAnsi="Times New Roman"/>
          <w:sz w:val="21"/>
        </w:rPr>
        <w:t>1. Tuyệt đối nghiêm cấm việc bàn giao thiết bị USB Token chính của Giám đốc (có thẩm quyền tài chính và pháp luật) cho nhân viên nhân sự để nộp BHXH hàng tháng.</w:t>
      </w:r>
    </w:p>
    <w:p>
      <w:pPr>
        <w:ind w:left="288"/>
      </w:pPr>
      <w:r>
        <w:rPr>
          <w:rFonts w:ascii="Times New Roman" w:hAnsi="Times New Roman"/>
          <w:sz w:val="21"/>
        </w:rPr>
        <w:t>2. Mọi cán bộ vi phạm tự ý chia sẻ mã PIN của Giám đốc sẽ bị đình chỉ công tác và chịu hoàn toàn trách nhiệm cá nhân nếu phát sinh thiệt hại tài sản.</w:t>
      </w:r>
    </w:p>
    <w:p>
      <w:pPr>
        <w:spacing w:before="160"/>
      </w:pPr>
      <w:r>
        <w:rPr>
          <w:rFonts w:ascii="Times New Roman" w:hAnsi="Times New Roman"/>
          <w:b/>
          <w:color w:val="800020"/>
          <w:sz w:val="23"/>
        </w:rPr>
        <w:t>ĐIỀU 2. CƠ CHẾ ỦY QUYỀN CHỮ KÝ SỐ CHỨC DANH</w:t>
      </w:r>
    </w:p>
    <w:p>
      <w:pPr>
        <w:ind w:left="288"/>
      </w:pPr>
      <w:r>
        <w:rPr>
          <w:rFonts w:ascii="Times New Roman" w:hAnsi="Times New Roman"/>
          <w:sz w:val="21"/>
        </w:rPr>
        <w:t>1. Doanh nghiệp trang bị riêng 01 Chữ ký số phụ mang chức danh cá nhân thuộc tổ chức cho Trưởng phòng Nhân sự.</w:t>
      </w:r>
    </w:p>
    <w:p>
      <w:pPr>
        <w:ind w:left="288"/>
      </w:pPr>
      <w:r>
        <w:rPr>
          <w:rFonts w:ascii="Times New Roman" w:hAnsi="Times New Roman"/>
          <w:sz w:val="21"/>
        </w:rPr>
        <w:t>2. Tổng Giám Đốc ban hành Văn bản ủy quyền giới hạn phạm vi: Chỉ ký các hồ sơ báo tăng, báo giảm lao động, chế độ ốm đau thai sản trên hệ thống BHXH; tuyệt đối không có quyền ký các giao dịch tài chính, thuế, ngân hàng.</w:t>
      </w:r>
    </w:p>
    <w:p>
      <w:pPr>
        <w:spacing w:before="160"/>
      </w:pPr>
      <w:r>
        <w:rPr>
          <w:rFonts w:ascii="Times New Roman" w:hAnsi="Times New Roman"/>
          <w:b/>
          <w:color w:val="800020"/>
          <w:sz w:val="23"/>
        </w:rPr>
        <w:t>ĐIỀU 3. QUY TRÌNH THU HỒI TOKEN KHI THAY ĐỔI NHÂN SỰ</w:t>
      </w:r>
    </w:p>
    <w:p>
      <w:pPr>
        <w:ind w:left="288"/>
      </w:pPr>
      <w:r>
        <w:rPr>
          <w:rFonts w:ascii="Times New Roman" w:hAnsi="Times New Roman"/>
          <w:sz w:val="21"/>
        </w:rPr>
        <w:t>1. Khi cán bộ nhân sự chuyển công tác hoặc nghỉ việc: Ban Giám Đốc lập biên bản thu hồi thiết bị, thông báo chấm dứt ủy quyền và yêu cầu nhà mạng Chữ Ký Số Tốt hủy bỏ chứng thư số trong vòng 2 giờ làm việc.</w:t>
      </w:r>
    </w:p>
    <w:p>
      <w:pPr>
        <w:spacing w:before="320"/>
        <w:jc w:val="right"/>
      </w:pPr>
      <w:r>
        <w:rPr>
          <w:rFonts w:ascii="Times New Roman" w:hAnsi="Times New Roman"/>
          <w:b/>
          <w:sz w:val="23"/>
        </w:rPr>
        <w:t>TỔNG GIÁM ĐỐC</w:t>
        <w:br/>
        <w:t>(Đã ký duyệt ban hành nội bộ)</w:t>
      </w:r>
    </w:p>
    <w:sectPr w:rsidR="00FC693F" w:rsidRPr="0006063C" w:rsidSect="00034616">
      <w:pgSz w:w="12240" w:h="15840"/>
      <w:pgMar w:top="1152" w:right="1152"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