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CỘNG HÒA XÃ HỘI CHỦ NGHĨA VIỆT NAM</w:t>
        <w:br/>
        <w:t>Độc lập - Tự do - Hạnh phúc</w:t>
        <w:br/>
        <w:t>-------------------</w:t>
      </w:r>
    </w:p>
    <w:p>
      <w:pPr>
        <w:jc w:val="center"/>
      </w:pPr>
      <w:r>
        <w:rPr>
          <w:rFonts w:ascii="Times New Roman" w:hAnsi="Times New Roman"/>
          <w:b/>
          <w:color w:val="0F4C81"/>
          <w:sz w:val="26"/>
        </w:rPr>
        <w:br/>
        <w:t>CẨM NANG HƯỚNG DẪN ĐÁNH GIÁ, LỰA CHỌN NHÀ CUNG CẤP CHỮ KÝ SỐ VÀ MẪU HỢP ĐỒNG DỊCH VỤ CHỨNG THƯ SỐ DOANH NGHIỆP NĂM 2026</w:t>
        <w:br/>
        <w:t>(Ban hành kèm theo Hệ thống quản lý dịch vụ số Mai Gia - Chuẩn hóa Nghị định 30/2020/NĐ-CP)</w:t>
      </w:r>
    </w:p>
    <w:p>
      <w:r>
        <w:rPr>
          <w:b/>
        </w:rPr>
        <w:t>Căn cứ pháp lý chứng thực điện tử năm 2026:</w:t>
      </w:r>
    </w:p>
    <w:p>
      <w:r>
        <w:rPr>
          <w:rFonts w:ascii="Times New Roman" w:hAnsi="Times New Roman"/>
          <w:sz w:val="22"/>
        </w:rPr>
        <w:t>- Luật Giao dịch điện tử số 20/2023/QH15 (Có hiệu lực thi hành từ ngày 01/07/2024).</w:t>
      </w:r>
    </w:p>
    <w:p>
      <w:r>
        <w:rPr>
          <w:rFonts w:ascii="Times New Roman" w:hAnsi="Times New Roman"/>
          <w:sz w:val="22"/>
        </w:rPr>
        <w:t>- Nghị định số 130/2018/NĐ-CP ngày 27/09/2018 quy định chi tiết thi hành Luật Giao dịch điện tử về chữ ký số.</w:t>
      </w:r>
    </w:p>
    <w:p>
      <w:r>
        <w:rPr>
          <w:rFonts w:ascii="Times New Roman" w:hAnsi="Times New Roman"/>
          <w:sz w:val="22"/>
        </w:rPr>
        <w:t>- Thông tư số 06/2024/TT-BTTTT của Bộ Thông tin &amp; Truyền thông quy định tiêu chuẩn kỹ thuật chữ ký số.</w:t>
      </w:r>
    </w:p>
    <w:p>
      <w:r>
        <w:rPr>
          <w:rFonts w:ascii="Times New Roman" w:hAnsi="Times New Roman"/>
          <w:sz w:val="22"/>
        </w:rPr>
        <w:t>- Giấy phép cấp dịch vụ chứng thực chữ ký số công cộng của NEAC - Bộ TT&amp;TT.</w:t>
      </w:r>
    </w:p>
    <w:p>
      <w:pPr>
        <w:pStyle w:val="Heading1"/>
      </w:pPr>
      <w:r>
        <w:t>PHẦN I: HỢP ĐỒNG CUNG CẤP VÀ SỬ DỤNG DỊCH VỤ CHỨNG THƯ SỐ CÔNG CỘNG</w:t>
      </w:r>
    </w:p>
    <w:p>
      <w:r>
        <w:rPr>
          <w:rFonts w:ascii="Times New Roman" w:hAnsi="Times New Roman"/>
          <w:sz w:val="22"/>
        </w:rPr>
        <w:t>Số: ...... /2026/HĐ-CKS/MAIGIA</w:t>
        <w:br/>
        <w:t>Hôm nay, ngày ..... tháng ..... năm 2026, tại Hà Nội, chúng tôi gồm có:</w:t>
      </w:r>
    </w:p>
    <w:tbl>
      <w:tblPr>
        <w:tblW w:type="auto" w:w="0"/>
        <w:jc w:val="center"/>
        <w:tblLayout w:type="autofit"/>
        <w:tblLook w:firstColumn="1" w:firstRow="1" w:lastColumn="0" w:lastRow="0" w:noHBand="0" w:noVBand="1" w:val="04A0"/>
      </w:tblPr>
      <w:tblGrid>
        <w:gridCol w:w="4824"/>
        <w:gridCol w:w="4824"/>
      </w:tblGrid>
      <w:tr>
        <w:tc>
          <w:tcPr>
            <w:tcW w:type="dxa" w:w="4824"/>
            <w:shd w:val="clear" w:color="auto" w:fill="E0F2FE"/>
          </w:tcPr>
          <w:p>
            <w:r>
              <w:rPr>
                <w:b/>
              </w:rPr>
              <w:t>BÊN A (ĐẠI LÝ PHÂN PHỐI CẤP 1):</w:t>
            </w:r>
          </w:p>
        </w:tc>
        <w:tc>
          <w:tcPr>
            <w:tcW w:type="dxa" w:w="4824"/>
            <w:shd w:val="clear" w:color="auto" w:fill="E0F2FE"/>
          </w:tcPr>
          <w:p>
            <w:r>
              <w:rPr>
                <w:b/>
              </w:rPr>
              <w:t>BÊN B (KHÁCH HÀNG DOANH NGHIỆP):</w:t>
            </w:r>
          </w:p>
        </w:tc>
      </w:tr>
      <w:tr>
        <w:tc>
          <w:tcPr>
            <w:tcW w:type="dxa" w:w="4824"/>
          </w:tcPr>
          <w:p>
            <w:r>
              <w:t>Tên đơn vị: CÔNG TY TNHH TM DV XNK MAI GIA</w:t>
              <w:br/>
              <w:t>Mã số thuế: 0110571380</w:t>
              <w:br/>
              <w:t>Địa chỉ: Yên Bệ, Kim Chung, Hoài Đức, Hà Nội</w:t>
              <w:br/>
              <w:t>Đại diện: Ông Mai Văn Long - Chức vụ: Giám đốc</w:t>
              <w:br/>
              <w:t>Điện thoại: 0357.226.866 / 0947.963.582</w:t>
              <w:br/>
              <w:t>Website: chukysotot.vn / gomhd.vn</w:t>
            </w:r>
          </w:p>
        </w:tc>
        <w:tc>
          <w:tcPr>
            <w:tcW w:type="dxa" w:w="4824"/>
          </w:tcPr>
          <w:p>
            <w:r>
              <w:t>Tên doanh nghiệp: .............................................</w:t>
              <w:br/>
              <w:t>Mã số thuế: ....................................................</w:t>
              <w:br/>
              <w:t>Địa chỉ ĐKKD: .................................................</w:t>
              <w:br/>
              <w:t>Đại diện pháp luật: .........................................</w:t>
              <w:br/>
              <w:t>Chức vụ: Giám đốc</w:t>
              <w:br/>
              <w:t>Điện thoại liên hệ: ............................................</w:t>
            </w:r>
          </w:p>
        </w:tc>
      </w:tr>
    </w:tbl>
    <w:p>
      <w:r>
        <w:br/>
        <w:t>Hai bên thống nhất ký kết hợp đồng cung cấp dịch vụ chứng thư số doanh nghiệp với các điều khoản cam kết bảo hành, cấp bù thời hạn trọn đời và hỗ trợ kỹ thuật thuế 24/7.</w:t>
      </w:r>
    </w:p>
    <w:p>
      <w:pPr>
        <w:pStyle w:val="Heading1"/>
      </w:pPr>
      <w:r>
        <w:t>PHẦN II: PHIẾU ĐĂNG KÝ CẤP MỚI / GIA HẠN THÔNG TIN CHỨNG THƯ SỐ (CHUẨN NEAC)</w:t>
      </w:r>
    </w:p>
    <w:p>
      <w:r>
        <w:rPr>
          <w:rFonts w:ascii="Times New Roman" w:hAnsi="Times New Roman"/>
          <w:sz w:val="22"/>
        </w:rPr>
        <w:t>Doanh nghiệp khai báo đầy đủ các thông tin: Tên tổ chức, Mã số thuế, Thông tin người đại diện, Nhà mạng lựa chọn (FastCA / Viettel / VNPT / FPT / Bkav), Thời hạn gói cước (1 năm / 2 năm / 3 năm) kèm bản sao GPĐKKD và CCCD người đại diện pháp luật.</w:t>
      </w:r>
    </w:p>
    <w:p>
      <w:pPr>
        <w:pStyle w:val="Heading1"/>
      </w:pPr>
      <w:r>
        <w:t>PHẦN III: QUY CHẾ QUẢN LÝ VÀ SỬ DỤNG CHỮ KÝ SỐ NỘI BỘ TRONG DOANH NGHIỆP</w:t>
      </w:r>
    </w:p>
    <w:p>
      <w:r>
        <w:rPr>
          <w:rFonts w:ascii="Times New Roman" w:hAnsi="Times New Roman"/>
          <w:sz w:val="22"/>
        </w:rPr>
        <w:t>Quy định chi tiết về người nắm giữ thiết bị USB Token, quy trình phân quyền ký số tờ khai thuế, ký phát hành hóa đơn điện tử, ký hợp đồng kinh tế và trách nhiệm bảo mật mã PIN cá nhân/doanh nghiệp.</w:t>
      </w:r>
    </w:p>
    <w:sectPr w:rsidR="00FC693F" w:rsidRPr="0006063C"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