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CỘNG HÒA XÃ HỘI CHỦ NGHĨA VIỆT NAM</w:t>
        <w:br/>
        <w:t>Độc lập - Tự do - Hạnh phúc</w:t>
        <w:br/>
        <w:t>-------------------</w:t>
      </w:r>
    </w:p>
    <w:p>
      <w:pPr>
        <w:jc w:val="center"/>
      </w:pPr>
      <w:r>
        <w:rPr>
          <w:rFonts w:ascii="Times New Roman" w:hAnsi="Times New Roman"/>
          <w:b/>
          <w:color w:val="0F4C81"/>
          <w:sz w:val="26"/>
        </w:rPr>
        <w:br/>
        <w:t>CẨM NANG HƯỚNG DẪN TRIỂN KHAI CHỮ KÝ SỐ TỪ XA (SMARTCA / REMOTE SIGNING)</w:t>
        <w:br/>
        <w:t>VÀ QUY CHẾ QUẢN LÝ, SỬ DỤNG CHỮ KÝ SỐ NỘI BỘ DOANH NGHIỆP</w:t>
        <w:br/>
        <w:t>(Ban hành kèm theo Quyết định số 08/2026/QĐ-MG — Chuẩn hóa Nghị định 30/2020/NĐ-CP)</w:t>
      </w:r>
    </w:p>
    <w:p>
      <w:r>
        <w:rPr>
          <w:b/>
        </w:rPr>
        <w:t>Căn cứ pháp lý áp dụng năm 2026:</w:t>
      </w:r>
    </w:p>
    <w:p>
      <w:pPr>
        <w:ind w:left="288"/>
      </w:pPr>
      <w:r>
        <w:rPr>
          <w:rFonts w:ascii="Times New Roman" w:hAnsi="Times New Roman"/>
          <w:i/>
          <w:sz w:val="22"/>
        </w:rPr>
        <w:t>- Luật Giao dịch điện tử số 20/2023/QH15 ngày 22/06/2023 (Có hiệu lực từ ngày 01/07/2024).</w:t>
      </w:r>
    </w:p>
    <w:p>
      <w:pPr>
        <w:ind w:left="288"/>
      </w:pPr>
      <w:r>
        <w:rPr>
          <w:rFonts w:ascii="Times New Roman" w:hAnsi="Times New Roman"/>
          <w:i/>
          <w:sz w:val="22"/>
        </w:rPr>
        <w:t>- Thông tư số 16/2019/TT-BTTTT và Thông tư số 31/2020/TT-BTTTT của Bộ Thông tin &amp; Truyền thông.</w:t>
      </w:r>
    </w:p>
    <w:p>
      <w:pPr>
        <w:ind w:left="288"/>
      </w:pPr>
      <w:r>
        <w:rPr>
          <w:rFonts w:ascii="Times New Roman" w:hAnsi="Times New Roman"/>
          <w:i/>
          <w:sz w:val="22"/>
        </w:rPr>
        <w:t>- Nghị định số 130/2018/NĐ-CP ngày 27/09/2018 của Chính phủ quy định chi tiết về chữ ký số.</w:t>
      </w:r>
    </w:p>
    <w:p>
      <w:pPr>
        <w:ind w:left="288"/>
      </w:pPr>
      <w:r>
        <w:rPr>
          <w:rFonts w:ascii="Times New Roman" w:hAnsi="Times New Roman"/>
          <w:i/>
          <w:sz w:val="22"/>
        </w:rPr>
        <w:t>- Nghị định số 123/2020/NĐ-CP của Chính phủ về hóa đơn điện tử máy tính tiền.</w:t>
      </w:r>
    </w:p>
    <w:p>
      <w:r>
        <w:rPr>
          <w:b/>
        </w:rPr>
        <w:br/>
        <w:t>PHẦN I: HƯỚNG DẪN CÀI ĐẶT VÀ KÍCH HOẠT CHỮ KÝ SỐ TỪ XA SMARTCA TRONG 15 PHÚT</w:t>
      </w:r>
    </w:p>
    <w:p>
      <w:pPr>
        <w:ind w:left="288"/>
      </w:pPr>
      <w:r>
        <w:rPr>
          <w:rFonts w:ascii="Times New Roman" w:hAnsi="Times New Roman"/>
          <w:sz w:val="22"/>
        </w:rPr>
        <w:t>Bước 1: Tiếp nhận email thông báo kích hoạt từ Tổ chức chứng thực chữ ký số (FastCA / Viettel / VNPT) kèm Mã kích hoạt hợp lệ.</w:t>
      </w:r>
    </w:p>
    <w:p>
      <w:pPr>
        <w:ind w:left="288"/>
      </w:pPr>
      <w:r>
        <w:rPr>
          <w:rFonts w:ascii="Times New Roman" w:hAnsi="Times New Roman"/>
          <w:sz w:val="22"/>
        </w:rPr>
        <w:t>Bước 2: Tải ứng dụng SmartCA tương ứng trên thiết bị di động (App Store đối với iOS hoặc Google Play đối với Android).</w:t>
      </w:r>
    </w:p>
    <w:p>
      <w:pPr>
        <w:ind w:left="288"/>
      </w:pPr>
      <w:r>
        <w:rPr>
          <w:rFonts w:ascii="Times New Roman" w:hAnsi="Times New Roman"/>
          <w:sz w:val="22"/>
        </w:rPr>
        <w:t>Bước 3: Mở ứng dụng, nhập số CMND/CCCD/Mã số thuế doanh nghiệp và Mã kích hoạt bí mật được cấp.</w:t>
      </w:r>
    </w:p>
    <w:p>
      <w:pPr>
        <w:ind w:left="288"/>
      </w:pPr>
      <w:r>
        <w:rPr>
          <w:rFonts w:ascii="Times New Roman" w:hAnsi="Times New Roman"/>
          <w:sz w:val="22"/>
        </w:rPr>
        <w:t>Bước 4: Thiết lập Mã PIN ký số cá nhân (gồm 6 chữ số) và kích hoạt chế độ xác thực sinh trắc học FaceID hoặc Vân tay.</w:t>
      </w:r>
    </w:p>
    <w:p>
      <w:pPr>
        <w:ind w:left="288"/>
      </w:pPr>
      <w:r>
        <w:rPr>
          <w:rFonts w:ascii="Times New Roman" w:hAnsi="Times New Roman"/>
          <w:sz w:val="22"/>
        </w:rPr>
        <w:t>Bước 5: Ký số kiểm tra thử tài liệu PDF nghiệm thu trên ứng dụng và liên kết tài khoản với phần mềm hóa đơn/kê khai thuế.</w:t>
      </w:r>
    </w:p>
    <w:p>
      <w:r>
        <w:rPr>
          <w:b/>
        </w:rPr>
        <w:br/>
        <w:t>PHẦN II: QUY CHẾ QUẢN LÝ VÀ PHÂN QUYỀN SỬ DỤNG CHỮ KÝ SỐ NỘI BỘ (MẪU CHUẨN)</w:t>
      </w:r>
    </w:p>
    <w:tbl>
      <w:tblPr>
        <w:tblW w:type="auto" w:w="0"/>
        <w:jc w:val="center"/>
        <w:tblLook w:firstColumn="1" w:firstRow="1" w:lastColumn="0" w:lastRow="0" w:noHBand="0" w:noVBand="1" w:val="04A0"/>
      </w:tblPr>
      <w:tblGrid>
        <w:gridCol w:w="2412"/>
        <w:gridCol w:w="2412"/>
        <w:gridCol w:w="2412"/>
        <w:gridCol w:w="2412"/>
      </w:tblGrid>
      <w:tr>
        <w:tc>
          <w:tcPr>
            <w:tcW w:type="dxa" w:w="2412"/>
            <w:shd w:val="clear" w:color="auto" w:fill="0F4C81"/>
          </w:tcPr>
          <w:p>
            <w:r>
              <w:rPr>
                <w:b/>
                <w:color w:val="FFFFFF"/>
              </w:rPr>
              <w:t>Chức danh nhân sự</w:t>
            </w:r>
          </w:p>
        </w:tc>
        <w:tc>
          <w:tcPr>
            <w:tcW w:type="dxa" w:w="2412"/>
            <w:shd w:val="clear" w:color="auto" w:fill="0F4C81"/>
          </w:tcPr>
          <w:p>
            <w:r>
              <w:rPr>
                <w:b/>
                <w:color w:val="FFFFFF"/>
              </w:rPr>
              <w:t>Phạm vi phân quyền ký số</w:t>
            </w:r>
          </w:p>
        </w:tc>
        <w:tc>
          <w:tcPr>
            <w:tcW w:type="dxa" w:w="2412"/>
            <w:shd w:val="clear" w:color="auto" w:fill="0F4C81"/>
          </w:tcPr>
          <w:p>
            <w:r>
              <w:rPr>
                <w:b/>
                <w:color w:val="FFFFFF"/>
              </w:rPr>
              <w:t>Hạn mức giá trị chứng từ</w:t>
            </w:r>
          </w:p>
        </w:tc>
        <w:tc>
          <w:tcPr>
            <w:tcW w:type="dxa" w:w="2412"/>
            <w:shd w:val="clear" w:color="auto" w:fill="0F4C81"/>
          </w:tcPr>
          <w:p>
            <w:r>
              <w:rPr>
                <w:b/>
                <w:color w:val="FFFFFF"/>
              </w:rPr>
              <w:t>Phương thức xác thực</w:t>
            </w:r>
          </w:p>
        </w:tc>
      </w:tr>
      <w:tr>
        <w:tc>
          <w:tcPr>
            <w:tcW w:type="dxa" w:w="2412"/>
            <w:shd w:val="clear" w:color="auto" w:fill="FFFFFF"/>
          </w:tcPr>
          <w:p>
            <w:r>
              <w:t>Tổng Giám Đốc (CEO)</w:t>
            </w:r>
          </w:p>
        </w:tc>
        <w:tc>
          <w:tcPr>
            <w:tcW w:type="dxa" w:w="2412"/>
            <w:shd w:val="clear" w:color="auto" w:fill="FFFFFF"/>
          </w:tcPr>
          <w:p>
            <w:r>
              <w:t>Hợp đồng kinh tế, Báo cáo tài chính, Tờ khai thuế, Mở tài khoản ngân hàng</w:t>
            </w:r>
          </w:p>
        </w:tc>
        <w:tc>
          <w:tcPr>
            <w:tcW w:type="dxa" w:w="2412"/>
            <w:shd w:val="clear" w:color="auto" w:fill="FFFFFF"/>
          </w:tcPr>
          <w:p>
            <w:r>
              <w:t>Không giới hạn</w:t>
            </w:r>
          </w:p>
        </w:tc>
        <w:tc>
          <w:tcPr>
            <w:tcW w:type="dxa" w:w="2412"/>
            <w:shd w:val="clear" w:color="auto" w:fill="FFFFFF"/>
          </w:tcPr>
          <w:p>
            <w:r>
              <w:t>SmartCA Mobile + FaceID chính chủ</w:t>
            </w:r>
          </w:p>
        </w:tc>
      </w:tr>
      <w:tr>
        <w:tc>
          <w:tcPr>
            <w:tcW w:type="dxa" w:w="2412"/>
            <w:shd w:val="clear" w:color="auto" w:fill="F2F2F2"/>
          </w:tcPr>
          <w:p>
            <w:r>
              <w:t>Kế toán trưởng</w:t>
            </w:r>
          </w:p>
        </w:tc>
        <w:tc>
          <w:tcPr>
            <w:tcW w:type="dxa" w:w="2412"/>
            <w:shd w:val="clear" w:color="auto" w:fill="F2F2F2"/>
          </w:tcPr>
          <w:p>
            <w:r>
              <w:t>Ký duyệt hóa đơn điện tử, Tờ khai thuế quý, Báo cáo BHXH, Ủy nhiệm chi</w:t>
            </w:r>
          </w:p>
        </w:tc>
        <w:tc>
          <w:tcPr>
            <w:tcW w:type="dxa" w:w="2412"/>
            <w:shd w:val="clear" w:color="auto" w:fill="F2F2F2"/>
          </w:tcPr>
          <w:p>
            <w:r>
              <w:t>Dưới 500.000.000 VNĐ / giao dịch</w:t>
            </w:r>
          </w:p>
        </w:tc>
        <w:tc>
          <w:tcPr>
            <w:tcW w:type="dxa" w:w="2412"/>
            <w:shd w:val="clear" w:color="auto" w:fill="F2F2F2"/>
          </w:tcPr>
          <w:p>
            <w:r>
              <w:t>SmartCA Mobile + Mã PIN bảo mật</w:t>
            </w:r>
          </w:p>
        </w:tc>
      </w:tr>
      <w:tr>
        <w:tc>
          <w:tcPr>
            <w:tcW w:type="dxa" w:w="2412"/>
            <w:shd w:val="clear" w:color="auto" w:fill="FFFFFF"/>
          </w:tcPr>
          <w:p>
            <w:r>
              <w:t>Kế toán viên bán hàng</w:t>
            </w:r>
          </w:p>
        </w:tc>
        <w:tc>
          <w:tcPr>
            <w:tcW w:type="dxa" w:w="2412"/>
            <w:shd w:val="clear" w:color="auto" w:fill="FFFFFF"/>
          </w:tcPr>
          <w:p>
            <w:r>
              <w:t>Ký phát hành hóa đơn điện tử từ máy tính tiền và phần mềm POS</w:t>
            </w:r>
          </w:p>
        </w:tc>
        <w:tc>
          <w:tcPr>
            <w:tcW w:type="dxa" w:w="2412"/>
            <w:shd w:val="clear" w:color="auto" w:fill="FFFFFF"/>
          </w:tcPr>
          <w:p>
            <w:r>
              <w:t>Theo từng đơn hàng bán lẻ phát sinh</w:t>
            </w:r>
          </w:p>
        </w:tc>
        <w:tc>
          <w:tcPr>
            <w:tcW w:type="dxa" w:w="2412"/>
            <w:shd w:val="clear" w:color="auto" w:fill="FFFFFF"/>
          </w:tcPr>
          <w:p>
            <w:r>
              <w:t>Chữ ký số HSM Server tự động kết nối qua API</w:t>
            </w:r>
          </w:p>
        </w:tc>
      </w:tr>
    </w:tbl>
    <w:p>
      <w:r>
        <w:rPr>
          <w:b/>
        </w:rPr>
        <w:br/>
        <w:t>PHẦN III: TRÁCH NHIỆM BẢO MẬT VÀ XỬ LÝ SỰ CỐ AN TOÀN SỐ</w:t>
      </w:r>
    </w:p>
    <w:p>
      <w:r>
        <w:t>1. Nghiêm cấm mọi hành vi tiết lộ mã PIN SmartCA, mật khẩu tài khoản hoặc cung cấp mã OTP cho người thứ ba.</w:t>
        <w:br/>
        <w:t>2. Trường hợp mất thiết bị di động cài đặt SmartCA: Nhân viên phải báo ngay cho Ban Giám Đốc và liên hệ Hotline Chữ Ký Số Tốt 0357.226.866 để khóa tài khoản tạm thời trong vòng 5 phút.</w:t>
        <w:br/>
        <w:t>3. Khi nhân sự chấm dứt hợp đồng lao động: Bộ phận IT và Kế toán trưởng có trách nhiệm thu hồi quyền ký số trên hệ thống máy chủ quản trị trong vòng 30 phút kể từ thời điểm bàn giao công việc.</w:t>
      </w:r>
    </w:p>
    <w:p>
      <w:r>
        <w:rPr>
          <w:b/>
        </w:rPr>
        <w:br/>
        <w:t>NGƯỜI LẬP QUY CHẾ                                             TỔNG GIÁM ĐỐC</w:t>
        <w:br/>
        <w:t xml:space="preserve">  (Ký và ghi rõ họ tên)                                      (Ký, đóng dấu và ghi rõ họ tên)</w:t>
      </w:r>
    </w:p>
    <w:sectPr w:rsidR="00FC693F" w:rsidRPr="0006063C" w:rsidSect="00034616">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