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b/>
          <w:sz w:val="24"/>
        </w:rPr>
        <w:t>CỘNG HÒA XÃ HỘI CHỦ NGHĨA VIỆT NAM</w:t>
        <w:br/>
        <w:t>Độc lập - Tự do - Hạnh phúc</w:t>
        <w:br/>
        <w:t>------------------------</w:t>
        <w:br/>
      </w:r>
    </w:p>
    <w:p>
      <w:pPr>
        <w:jc w:val="center"/>
      </w:pPr>
      <w:r>
        <w:rPr>
          <w:rFonts w:ascii="Times New Roman" w:hAnsi="Times New Roman"/>
          <w:b/>
          <w:color w:val="0F1740"/>
          <w:sz w:val="28"/>
        </w:rPr>
        <w:t>SỔ TAY NGHIỆP VỤ THỦ TỤC ĐĂNG KÝ &amp; KÊ KHAI BẢO HIỂM XÃ HỘI ĐIỆN TỬ LẦN ĐẦU</w:t>
        <w:br/>
        <w:t>CHO DOANH NGHIỆP MỚI THÀNH LẬP VÀ BỘ BIỂU MẪU CHUẨN NGHỊ ĐỊNH 30/2020/NĐ-CP</w:t>
      </w:r>
    </w:p>
    <w:p>
      <w:pPr>
        <w:jc w:val="center"/>
      </w:pPr>
      <w:r>
        <w:rPr>
          <w:rFonts w:ascii="Times New Roman" w:hAnsi="Times New Roman"/>
          <w:i/>
          <w:color w:val="64748B"/>
          <w:sz w:val="20"/>
        </w:rPr>
        <w:t>Áp dụng quy chuẩn mới nhất năm 2026: Quyết định 595/QĐ-BHXH, Quyết định 505/QĐ-BHXH, Quyết định 899/QĐ-BHXH, Luật Bảo hiểm xã hội và Luật Giao dịch điện tử 2023</w:t>
        <w:br/>
        <w:t>Đơn vị biên soạn: HỆ THỐNG CHỮ KÝ SỐ TỐT (chukysotot.vn) — CÔNG TY TNHH TM DV XNK MAI GIA</w:t>
      </w:r>
    </w:p>
    <w:p>
      <w:pPr>
        <w:pStyle w:val="Heading1"/>
      </w:pPr>
      <w:r>
        <w:t>I. CĂN CỨ PHÁP LÝ &amp; HỒ SƠ ĐĂNG KÝ MÃ ĐƠN VỊ BHXH LẦN ĐẦU</w:t>
      </w:r>
    </w:p>
    <w:p>
      <w:r>
        <w:rPr>
          <w:b/>
        </w:rPr>
        <w:t>1. Căn cứ pháp lý cốt lõi năm 2026:</w:t>
        <w:br/>
      </w:r>
      <w:r>
        <w:t>- Luật Bảo hiểm xã hội số 58/2014/QH13 và Luật Bảo hiểm xã hội số 41/2024/QH15 (được Quốc hội thông qua ngày 29/06/2024, có hiệu lực từ ngày 01/07/2025).</w:t>
        <w:br/>
        <w:t>- Luật Giao dịch điện tử số 20/2023/QH15 (có hiệu lực từ ngày 01/07/2024).</w:t>
        <w:br/>
        <w:t>- Quyết định số 595/QĐ-BHXH và Quyết định số 505/QĐ-BHXH của BHXH Việt Nam ban hành Quy trình thu BHXH, BHYT, BHTN; quản lý sổ BHXH, thẻ BHYT.</w:t>
        <w:br/>
        <w:t>- Quyết định số 899/QĐ-BHXH về Quy chế quản lý, khai thác và sử dụng chữ ký số, chứng thư số trong ngành BHXH.</w:t>
        <w:br/>
        <w:t>- Quyết định số 222/QĐ-BHXH công bố thủ tục hành chính thay thế, bãi bỏ trong lĩnh vực thu, cấp sổ BHXH.</w:t>
        <w:br/>
        <w:t>- Nghị định số 12/2022/NĐ-CP về xử phạt vi phạm hành chính lĩnh vực lao động, bảo hiểm xã hội (mức phạt tiền trốn đóng, chậm đóng lên tới 75.000.000 đồng kèm lãi phạt 0.03%/ngày).</w:t>
        <w:br/>
        <w:br/>
      </w:r>
      <w:r>
        <w:rPr>
          <w:b/>
        </w:rPr>
        <w:t>2. Thành phần hồ sơ đăng ký tham gia BHXH lần đầu cho đơn vị sử dụng lao động:</w:t>
        <w:br/>
      </w:r>
      <w:r>
        <w:t>Theo quy định tại Điều 23 Quyết định số 595/QĐ-BHXH (được sửa đổi bổ sung tại Quyết định 505/QĐ-BHXH), đơn vị cần chuẩn bị bộ hồ sơ gồm:</w:t>
        <w:br/>
        <w:t>a) Tờ khai đơn vị tham gia, điều chỉnh thông tin BHXH, BHYT (Mẫu TK3-TS ban hành kèm QĐ 505/QĐ-BHXH).</w:t>
        <w:br/>
        <w:t>b) Báo cáo tình hình sử dụng lao động và danh sách tham gia BHXH, BHYT, BHTN (Mẫu D02-LT ban hành kèm QĐ 505/QĐ-BHXH).</w:t>
        <w:br/>
        <w:t>c) Tờ khai tham gia, điều chỉnh thông tin BHXH, BHYT của người lao động (Mẫu TK1-TS) đối với trường hợp người lao động chưa được cấp mã số BHXH hoặc có sai sót thông tin cá nhân.</w:t>
        <w:br/>
        <w:t>d) Bản sao Giấy chứng nhận đăng ký doanh nghiệp (ĐKKD) có xác thực điện tử hoặc đính kèm bản quét PDF.</w:t>
        <w:br/>
        <w:t>e) Bản sao Hợp đồng lao động hoặc Quyết định tiếp nhận tuyển dụng của nhân sự.</w:t>
      </w:r>
    </w:p>
    <w:p>
      <w:pPr>
        <w:pStyle w:val="Heading1"/>
      </w:pPr>
      <w:r>
        <w:t>II. BẢNG HƯỚNG DẪN CHI TIẾT CÁC CHỈ TIÊU KÊ KHAI MẪU D02-LT (QUYẾT ĐỊNH 505/QĐ-BHXH)</w:t>
      </w:r>
    </w:p>
    <w:p>
      <w:r>
        <w:t>Mẫu D02-LT là biểu mẫu danh sách biến động lao động bắt buộc. Kế toán cần đối soát kỹ từng chỉ tiêu tránh việc cơ quan BHXH từ chối hồ sơ:</w:t>
        <w:br/>
      </w:r>
    </w:p>
    <w:tbl>
      <w:tblPr>
        <w:tblW w:type="auto" w:w="0"/>
        <w:jc w:val="center"/>
        <w:tblLook w:firstColumn="1" w:firstRow="1" w:lastColumn="0" w:lastRow="0" w:noHBand="0" w:noVBand="1" w:val="04A0"/>
      </w:tblPr>
      <w:tblGrid>
        <w:gridCol w:w="2484"/>
        <w:gridCol w:w="2484"/>
        <w:gridCol w:w="2484"/>
        <w:gridCol w:w="2484"/>
      </w:tblGrid>
      <w:tr>
        <w:tc>
          <w:tcPr>
            <w:tcW w:type="dxa" w:w="2484"/>
            <w:shd w:val="clear" w:color="auto" w:fill="1E293B"/>
            <w:tcMar>
              <w:top w:w="120" w:type="dxa"/>
              <w:bottom w:w="120" w:type="dxa"/>
              <w:left w:w="150" w:type="dxa"/>
              <w:right w:w="150" w:type="dxa"/>
            </w:tcMar>
          </w:tcPr>
          <w:p>
            <w:r>
              <w:rPr>
                <w:rFonts w:ascii="Times New Roman" w:hAnsi="Times New Roman"/>
                <w:b/>
                <w:color w:val="FFFFFF"/>
                <w:sz w:val="20"/>
              </w:rPr>
              <w:t>Chỉ tiêu / Cột</w:t>
            </w:r>
          </w:p>
        </w:tc>
        <w:tc>
          <w:tcPr>
            <w:tcW w:type="dxa" w:w="2484"/>
            <w:shd w:val="clear" w:color="auto" w:fill="1E293B"/>
            <w:tcMar>
              <w:top w:w="120" w:type="dxa"/>
              <w:bottom w:w="120" w:type="dxa"/>
              <w:left w:w="150" w:type="dxa"/>
              <w:right w:w="150" w:type="dxa"/>
            </w:tcMar>
          </w:tcPr>
          <w:p>
            <w:r>
              <w:rPr>
                <w:rFonts w:ascii="Times New Roman" w:hAnsi="Times New Roman"/>
                <w:b/>
                <w:color w:val="FFFFFF"/>
                <w:sz w:val="20"/>
              </w:rPr>
              <w:t>Tên trường thông tin</w:t>
            </w:r>
          </w:p>
        </w:tc>
        <w:tc>
          <w:tcPr>
            <w:tcW w:type="dxa" w:w="2484"/>
            <w:shd w:val="clear" w:color="auto" w:fill="1E293B"/>
            <w:tcMar>
              <w:top w:w="120" w:type="dxa"/>
              <w:bottom w:w="120" w:type="dxa"/>
              <w:left w:w="150" w:type="dxa"/>
              <w:right w:w="150" w:type="dxa"/>
            </w:tcMar>
          </w:tcPr>
          <w:p>
            <w:r>
              <w:rPr>
                <w:rFonts w:ascii="Times New Roman" w:hAnsi="Times New Roman"/>
                <w:b/>
                <w:color w:val="FFFFFF"/>
                <w:sz w:val="20"/>
              </w:rPr>
              <w:t>Ý nghĩa nghiệp vụ</w:t>
            </w:r>
          </w:p>
        </w:tc>
        <w:tc>
          <w:tcPr>
            <w:tcW w:type="dxa" w:w="2484"/>
            <w:shd w:val="clear" w:color="auto" w:fill="1E293B"/>
            <w:tcMar>
              <w:top w:w="120" w:type="dxa"/>
              <w:bottom w:w="120" w:type="dxa"/>
              <w:left w:w="150" w:type="dxa"/>
              <w:right w:w="150" w:type="dxa"/>
            </w:tcMar>
          </w:tcPr>
          <w:p>
            <w:r>
              <w:rPr>
                <w:rFonts w:ascii="Times New Roman" w:hAnsi="Times New Roman"/>
                <w:b/>
                <w:color w:val="FFFFFF"/>
                <w:sz w:val="20"/>
              </w:rPr>
              <w:t>Lưu ý kiểm soát tránh bị từ chối</w:t>
            </w:r>
          </w:p>
        </w:tc>
      </w:tr>
      <w:tr>
        <w:tc>
          <w:tcPr>
            <w:tcW w:type="dxa" w:w="2484"/>
            <w:tcMar>
              <w:top w:w="80" w:type="dxa"/>
              <w:bottom w:w="80" w:type="dxa"/>
              <w:left w:w="100" w:type="dxa"/>
              <w:right w:w="100" w:type="dxa"/>
            </w:tcMar>
            <w:shd w:val="clear" w:color="auto" w:fill="F8FAFC"/>
          </w:tcPr>
          <w:p>
            <w:r>
              <w:rPr>
                <w:rFonts w:ascii="Times New Roman" w:hAnsi="Times New Roman"/>
                <w:sz w:val="19"/>
              </w:rPr>
              <w:t>Cột A, B</w:t>
            </w:r>
          </w:p>
        </w:tc>
        <w:tc>
          <w:tcPr>
            <w:tcW w:type="dxa" w:w="2484"/>
            <w:tcMar>
              <w:top w:w="80" w:type="dxa"/>
              <w:bottom w:w="80" w:type="dxa"/>
              <w:left w:w="100" w:type="dxa"/>
              <w:right w:w="100" w:type="dxa"/>
            </w:tcMar>
            <w:shd w:val="clear" w:color="auto" w:fill="FFFFFF"/>
          </w:tcPr>
          <w:p>
            <w:r>
              <w:rPr>
                <w:rFonts w:ascii="Times New Roman" w:hAnsi="Times New Roman"/>
                <w:sz w:val="19"/>
              </w:rPr>
              <w:t>STT, Họ và tên</w:t>
            </w:r>
          </w:p>
        </w:tc>
        <w:tc>
          <w:tcPr>
            <w:tcW w:type="dxa" w:w="2484"/>
            <w:tcMar>
              <w:top w:w="80" w:type="dxa"/>
              <w:bottom w:w="80" w:type="dxa"/>
              <w:left w:w="100" w:type="dxa"/>
              <w:right w:w="100" w:type="dxa"/>
            </w:tcMar>
            <w:shd w:val="clear" w:color="auto" w:fill="F8FAFC"/>
          </w:tcPr>
          <w:p>
            <w:r>
              <w:rPr>
                <w:rFonts w:ascii="Times New Roman" w:hAnsi="Times New Roman"/>
                <w:sz w:val="19"/>
              </w:rPr>
              <w:t>Họ tên đầy đủ của người lao động theo CCCD gắn chip</w:t>
            </w:r>
          </w:p>
        </w:tc>
        <w:tc>
          <w:tcPr>
            <w:tcW w:type="dxa" w:w="2484"/>
            <w:tcMar>
              <w:top w:w="80" w:type="dxa"/>
              <w:bottom w:w="80" w:type="dxa"/>
              <w:left w:w="100" w:type="dxa"/>
              <w:right w:w="100" w:type="dxa"/>
            </w:tcMar>
            <w:shd w:val="clear" w:color="auto" w:fill="FFFFFF"/>
          </w:tcPr>
          <w:p>
            <w:r>
              <w:rPr>
                <w:rFonts w:ascii="Times New Roman" w:hAnsi="Times New Roman"/>
                <w:sz w:val="19"/>
              </w:rPr>
              <w:t>Khớp chính xác từng chữ cái với cơ sở dữ liệu quốc gia về dân cư VNeID</w:t>
            </w:r>
          </w:p>
        </w:tc>
      </w:tr>
      <w:tr>
        <w:tc>
          <w:tcPr>
            <w:tcW w:type="dxa" w:w="2484"/>
            <w:tcMar>
              <w:top w:w="80" w:type="dxa"/>
              <w:bottom w:w="80" w:type="dxa"/>
              <w:left w:w="100" w:type="dxa"/>
              <w:right w:w="100" w:type="dxa"/>
            </w:tcMar>
            <w:shd w:val="clear" w:color="auto" w:fill="F8FAFC"/>
          </w:tcPr>
          <w:p>
            <w:r>
              <w:rPr>
                <w:rFonts w:ascii="Times New Roman" w:hAnsi="Times New Roman"/>
                <w:sz w:val="19"/>
              </w:rPr>
              <w:t>Cột 1</w:t>
            </w:r>
          </w:p>
        </w:tc>
        <w:tc>
          <w:tcPr>
            <w:tcW w:type="dxa" w:w="2484"/>
            <w:tcMar>
              <w:top w:w="80" w:type="dxa"/>
              <w:bottom w:w="80" w:type="dxa"/>
              <w:left w:w="100" w:type="dxa"/>
              <w:right w:w="100" w:type="dxa"/>
            </w:tcMar>
            <w:shd w:val="clear" w:color="auto" w:fill="FFFFFF"/>
          </w:tcPr>
          <w:p>
            <w:r>
              <w:rPr>
                <w:rFonts w:ascii="Times New Roman" w:hAnsi="Times New Roman"/>
                <w:sz w:val="19"/>
              </w:rPr>
              <w:t>Mã số BHXH</w:t>
            </w:r>
          </w:p>
        </w:tc>
        <w:tc>
          <w:tcPr>
            <w:tcW w:type="dxa" w:w="2484"/>
            <w:tcMar>
              <w:top w:w="80" w:type="dxa"/>
              <w:bottom w:w="80" w:type="dxa"/>
              <w:left w:w="100" w:type="dxa"/>
              <w:right w:w="100" w:type="dxa"/>
            </w:tcMar>
            <w:shd w:val="clear" w:color="auto" w:fill="F8FAFC"/>
          </w:tcPr>
          <w:p>
            <w:r>
              <w:rPr>
                <w:rFonts w:ascii="Times New Roman" w:hAnsi="Times New Roman"/>
                <w:sz w:val="19"/>
              </w:rPr>
              <w:t>Mã số định danh 10 số của người lao động</w:t>
            </w:r>
          </w:p>
        </w:tc>
        <w:tc>
          <w:tcPr>
            <w:tcW w:type="dxa" w:w="2484"/>
            <w:tcMar>
              <w:top w:w="80" w:type="dxa"/>
              <w:bottom w:w="80" w:type="dxa"/>
              <w:left w:w="100" w:type="dxa"/>
              <w:right w:w="100" w:type="dxa"/>
            </w:tcMar>
            <w:shd w:val="clear" w:color="auto" w:fill="FFFFFF"/>
          </w:tcPr>
          <w:p>
            <w:r>
              <w:rPr>
                <w:rFonts w:ascii="Times New Roman" w:hAnsi="Times New Roman"/>
                <w:sz w:val="19"/>
              </w:rPr>
              <w:t>Nếu chưa có mã số BHXH thì để trống và bắt buộc kèm Mẫu TK1-TS để cấp mới</w:t>
            </w:r>
          </w:p>
        </w:tc>
      </w:tr>
      <w:tr>
        <w:tc>
          <w:tcPr>
            <w:tcW w:type="dxa" w:w="2484"/>
            <w:tcMar>
              <w:top w:w="80" w:type="dxa"/>
              <w:bottom w:w="80" w:type="dxa"/>
              <w:left w:w="100" w:type="dxa"/>
              <w:right w:w="100" w:type="dxa"/>
            </w:tcMar>
            <w:shd w:val="clear" w:color="auto" w:fill="F8FAFC"/>
          </w:tcPr>
          <w:p>
            <w:r>
              <w:rPr>
                <w:rFonts w:ascii="Times New Roman" w:hAnsi="Times New Roman"/>
                <w:sz w:val="19"/>
              </w:rPr>
              <w:t>Cột 2</w:t>
            </w:r>
          </w:p>
        </w:tc>
        <w:tc>
          <w:tcPr>
            <w:tcW w:type="dxa" w:w="2484"/>
            <w:tcMar>
              <w:top w:w="80" w:type="dxa"/>
              <w:bottom w:w="80" w:type="dxa"/>
              <w:left w:w="100" w:type="dxa"/>
              <w:right w:w="100" w:type="dxa"/>
            </w:tcMar>
            <w:shd w:val="clear" w:color="auto" w:fill="FFFFFF"/>
          </w:tcPr>
          <w:p>
            <w:r>
              <w:rPr>
                <w:rFonts w:ascii="Times New Roman" w:hAnsi="Times New Roman"/>
                <w:sz w:val="19"/>
              </w:rPr>
              <w:t>Ngày tháng năm sinh</w:t>
            </w:r>
          </w:p>
        </w:tc>
        <w:tc>
          <w:tcPr>
            <w:tcW w:type="dxa" w:w="2484"/>
            <w:tcMar>
              <w:top w:w="80" w:type="dxa"/>
              <w:bottom w:w="80" w:type="dxa"/>
              <w:left w:w="100" w:type="dxa"/>
              <w:right w:w="100" w:type="dxa"/>
            </w:tcMar>
            <w:shd w:val="clear" w:color="auto" w:fill="F8FAFC"/>
          </w:tcPr>
          <w:p>
            <w:r>
              <w:rPr>
                <w:rFonts w:ascii="Times New Roman" w:hAnsi="Times New Roman"/>
                <w:sz w:val="19"/>
              </w:rPr>
              <w:t>Ngày sinh theo định dạng DD/MM/YYYY</w:t>
            </w:r>
          </w:p>
        </w:tc>
        <w:tc>
          <w:tcPr>
            <w:tcW w:type="dxa" w:w="2484"/>
            <w:tcMar>
              <w:top w:w="80" w:type="dxa"/>
              <w:bottom w:w="80" w:type="dxa"/>
              <w:left w:w="100" w:type="dxa"/>
              <w:right w:w="100" w:type="dxa"/>
            </w:tcMar>
            <w:shd w:val="clear" w:color="auto" w:fill="FFFFFF"/>
          </w:tcPr>
          <w:p>
            <w:r>
              <w:rPr>
                <w:rFonts w:ascii="Times New Roman" w:hAnsi="Times New Roman"/>
                <w:sz w:val="19"/>
              </w:rPr>
              <w:t>Nếu trên CCCD chỉ có năm sinh thì ghi 01/01/YYYY theo quy định BHXH</w:t>
            </w:r>
          </w:p>
        </w:tc>
      </w:tr>
      <w:tr>
        <w:tc>
          <w:tcPr>
            <w:tcW w:type="dxa" w:w="2484"/>
            <w:tcMar>
              <w:top w:w="80" w:type="dxa"/>
              <w:bottom w:w="80" w:type="dxa"/>
              <w:left w:w="100" w:type="dxa"/>
              <w:right w:w="100" w:type="dxa"/>
            </w:tcMar>
            <w:shd w:val="clear" w:color="auto" w:fill="F8FAFC"/>
          </w:tcPr>
          <w:p>
            <w:r>
              <w:rPr>
                <w:rFonts w:ascii="Times New Roman" w:hAnsi="Times New Roman"/>
                <w:sz w:val="19"/>
              </w:rPr>
              <w:t>Cột 3</w:t>
            </w:r>
          </w:p>
        </w:tc>
        <w:tc>
          <w:tcPr>
            <w:tcW w:type="dxa" w:w="2484"/>
            <w:tcMar>
              <w:top w:w="80" w:type="dxa"/>
              <w:bottom w:w="80" w:type="dxa"/>
              <w:left w:w="100" w:type="dxa"/>
              <w:right w:w="100" w:type="dxa"/>
            </w:tcMar>
            <w:shd w:val="clear" w:color="auto" w:fill="FFFFFF"/>
          </w:tcPr>
          <w:p>
            <w:r>
              <w:rPr>
                <w:rFonts w:ascii="Times New Roman" w:hAnsi="Times New Roman"/>
                <w:sz w:val="19"/>
              </w:rPr>
              <w:t>Giới tính</w:t>
            </w:r>
          </w:p>
        </w:tc>
        <w:tc>
          <w:tcPr>
            <w:tcW w:type="dxa" w:w="2484"/>
            <w:tcMar>
              <w:top w:w="80" w:type="dxa"/>
              <w:bottom w:w="80" w:type="dxa"/>
              <w:left w:w="100" w:type="dxa"/>
              <w:right w:w="100" w:type="dxa"/>
            </w:tcMar>
            <w:shd w:val="clear" w:color="auto" w:fill="F8FAFC"/>
          </w:tcPr>
          <w:p>
            <w:r>
              <w:rPr>
                <w:rFonts w:ascii="Times New Roman" w:hAnsi="Times New Roman"/>
                <w:sz w:val="19"/>
              </w:rPr>
              <w:t>Ghi Nam hoặc Nữ</w:t>
            </w:r>
          </w:p>
        </w:tc>
        <w:tc>
          <w:tcPr>
            <w:tcW w:type="dxa" w:w="2484"/>
            <w:tcMar>
              <w:top w:w="80" w:type="dxa"/>
              <w:bottom w:w="80" w:type="dxa"/>
              <w:left w:w="100" w:type="dxa"/>
              <w:right w:w="100" w:type="dxa"/>
            </w:tcMar>
            <w:shd w:val="clear" w:color="auto" w:fill="FFFFFF"/>
          </w:tcPr>
          <w:p>
            <w:r>
              <w:rPr>
                <w:rFonts w:ascii="Times New Roman" w:hAnsi="Times New Roman"/>
                <w:sz w:val="19"/>
              </w:rPr>
              <w:t>Phải khớp đúng với thông tin thẻ CCCD gắn chip</w:t>
            </w:r>
          </w:p>
        </w:tc>
      </w:tr>
      <w:tr>
        <w:tc>
          <w:tcPr>
            <w:tcW w:type="dxa" w:w="2484"/>
            <w:tcMar>
              <w:top w:w="80" w:type="dxa"/>
              <w:bottom w:w="80" w:type="dxa"/>
              <w:left w:w="100" w:type="dxa"/>
              <w:right w:w="100" w:type="dxa"/>
            </w:tcMar>
            <w:shd w:val="clear" w:color="auto" w:fill="F8FAFC"/>
          </w:tcPr>
          <w:p>
            <w:r>
              <w:rPr>
                <w:rFonts w:ascii="Times New Roman" w:hAnsi="Times New Roman"/>
                <w:sz w:val="19"/>
              </w:rPr>
              <w:t>Cột 4</w:t>
            </w:r>
          </w:p>
        </w:tc>
        <w:tc>
          <w:tcPr>
            <w:tcW w:type="dxa" w:w="2484"/>
            <w:tcMar>
              <w:top w:w="80" w:type="dxa"/>
              <w:bottom w:w="80" w:type="dxa"/>
              <w:left w:w="100" w:type="dxa"/>
              <w:right w:w="100" w:type="dxa"/>
            </w:tcMar>
            <w:shd w:val="clear" w:color="auto" w:fill="FFFFFF"/>
          </w:tcPr>
          <w:p>
            <w:r>
              <w:rPr>
                <w:rFonts w:ascii="Times New Roman" w:hAnsi="Times New Roman"/>
                <w:sz w:val="19"/>
              </w:rPr>
              <w:t>Số CCCD/Định danh</w:t>
            </w:r>
          </w:p>
        </w:tc>
        <w:tc>
          <w:tcPr>
            <w:tcW w:type="dxa" w:w="2484"/>
            <w:tcMar>
              <w:top w:w="80" w:type="dxa"/>
              <w:bottom w:w="80" w:type="dxa"/>
              <w:left w:w="100" w:type="dxa"/>
              <w:right w:w="100" w:type="dxa"/>
            </w:tcMar>
            <w:shd w:val="clear" w:color="auto" w:fill="F8FAFC"/>
          </w:tcPr>
          <w:p>
            <w:r>
              <w:rPr>
                <w:rFonts w:ascii="Times New Roman" w:hAnsi="Times New Roman"/>
                <w:sz w:val="19"/>
              </w:rPr>
              <w:t>Số thẻ CCCD 12 số của người lao động</w:t>
            </w:r>
          </w:p>
        </w:tc>
        <w:tc>
          <w:tcPr>
            <w:tcW w:type="dxa" w:w="2484"/>
            <w:tcMar>
              <w:top w:w="80" w:type="dxa"/>
              <w:bottom w:w="80" w:type="dxa"/>
              <w:left w:w="100" w:type="dxa"/>
              <w:right w:w="100" w:type="dxa"/>
            </w:tcMar>
            <w:shd w:val="clear" w:color="auto" w:fill="FFFFFF"/>
          </w:tcPr>
          <w:p>
            <w:r>
              <w:rPr>
                <w:rFonts w:ascii="Times New Roman" w:hAnsi="Times New Roman"/>
                <w:sz w:val="19"/>
              </w:rPr>
              <w:t>Bắt buộc từ năm 2024-2026 để đồng bộ cơ sở dữ liệu VNeID và VssID</w:t>
            </w:r>
          </w:p>
        </w:tc>
      </w:tr>
      <w:tr>
        <w:tc>
          <w:tcPr>
            <w:tcW w:type="dxa" w:w="2484"/>
            <w:tcMar>
              <w:top w:w="80" w:type="dxa"/>
              <w:bottom w:w="80" w:type="dxa"/>
              <w:left w:w="100" w:type="dxa"/>
              <w:right w:w="100" w:type="dxa"/>
            </w:tcMar>
            <w:shd w:val="clear" w:color="auto" w:fill="F8FAFC"/>
          </w:tcPr>
          <w:p>
            <w:r>
              <w:rPr>
                <w:rFonts w:ascii="Times New Roman" w:hAnsi="Times New Roman"/>
                <w:sz w:val="19"/>
              </w:rPr>
              <w:t>Cột 5</w:t>
            </w:r>
          </w:p>
        </w:tc>
        <w:tc>
          <w:tcPr>
            <w:tcW w:type="dxa" w:w="2484"/>
            <w:tcMar>
              <w:top w:w="80" w:type="dxa"/>
              <w:bottom w:w="80" w:type="dxa"/>
              <w:left w:w="100" w:type="dxa"/>
              <w:right w:w="100" w:type="dxa"/>
            </w:tcMar>
            <w:shd w:val="clear" w:color="auto" w:fill="FFFFFF"/>
          </w:tcPr>
          <w:p>
            <w:r>
              <w:rPr>
                <w:rFonts w:ascii="Times New Roman" w:hAnsi="Times New Roman"/>
                <w:sz w:val="19"/>
              </w:rPr>
              <w:t>Chức danh, nghề nghiệp</w:t>
            </w:r>
          </w:p>
        </w:tc>
        <w:tc>
          <w:tcPr>
            <w:tcW w:type="dxa" w:w="2484"/>
            <w:tcMar>
              <w:top w:w="80" w:type="dxa"/>
              <w:bottom w:w="80" w:type="dxa"/>
              <w:left w:w="100" w:type="dxa"/>
              <w:right w:w="100" w:type="dxa"/>
            </w:tcMar>
            <w:shd w:val="clear" w:color="auto" w:fill="F8FAFC"/>
          </w:tcPr>
          <w:p>
            <w:r>
              <w:rPr>
                <w:rFonts w:ascii="Times New Roman" w:hAnsi="Times New Roman"/>
                <w:sz w:val="19"/>
              </w:rPr>
              <w:t>Vị trí công việc theo HĐLĐ (Kế toán, Nhân viên, Giám đốc...)</w:t>
            </w:r>
          </w:p>
        </w:tc>
        <w:tc>
          <w:tcPr>
            <w:tcW w:type="dxa" w:w="2484"/>
            <w:tcMar>
              <w:top w:w="80" w:type="dxa"/>
              <w:bottom w:w="80" w:type="dxa"/>
              <w:left w:w="100" w:type="dxa"/>
              <w:right w:w="100" w:type="dxa"/>
            </w:tcMar>
            <w:shd w:val="clear" w:color="auto" w:fill="FFFFFF"/>
          </w:tcPr>
          <w:p>
            <w:r>
              <w:rPr>
                <w:rFonts w:ascii="Times New Roman" w:hAnsi="Times New Roman"/>
                <w:sz w:val="19"/>
              </w:rPr>
              <w:t>Ghi đúng chức danh nặng nhọc, độc hại nếu thuộc danh mục để hưởng chế độ riêng</w:t>
            </w:r>
          </w:p>
        </w:tc>
      </w:tr>
      <w:tr>
        <w:tc>
          <w:tcPr>
            <w:tcW w:type="dxa" w:w="2484"/>
            <w:tcMar>
              <w:top w:w="80" w:type="dxa"/>
              <w:bottom w:w="80" w:type="dxa"/>
              <w:left w:w="100" w:type="dxa"/>
              <w:right w:w="100" w:type="dxa"/>
            </w:tcMar>
            <w:shd w:val="clear" w:color="auto" w:fill="F8FAFC"/>
          </w:tcPr>
          <w:p>
            <w:r>
              <w:rPr>
                <w:rFonts w:ascii="Times New Roman" w:hAnsi="Times New Roman"/>
                <w:sz w:val="19"/>
              </w:rPr>
              <w:t>Cột 6</w:t>
            </w:r>
          </w:p>
        </w:tc>
        <w:tc>
          <w:tcPr>
            <w:tcW w:type="dxa" w:w="2484"/>
            <w:tcMar>
              <w:top w:w="80" w:type="dxa"/>
              <w:bottom w:w="80" w:type="dxa"/>
              <w:left w:w="100" w:type="dxa"/>
              <w:right w:w="100" w:type="dxa"/>
            </w:tcMar>
            <w:shd w:val="clear" w:color="auto" w:fill="FFFFFF"/>
          </w:tcPr>
          <w:p>
            <w:r>
              <w:rPr>
                <w:rFonts w:ascii="Times New Roman" w:hAnsi="Times New Roman"/>
                <w:sz w:val="19"/>
              </w:rPr>
              <w:t>Tiền lương đóng BHXH</w:t>
            </w:r>
          </w:p>
        </w:tc>
        <w:tc>
          <w:tcPr>
            <w:tcW w:type="dxa" w:w="2484"/>
            <w:tcMar>
              <w:top w:w="80" w:type="dxa"/>
              <w:bottom w:w="80" w:type="dxa"/>
              <w:left w:w="100" w:type="dxa"/>
              <w:right w:w="100" w:type="dxa"/>
            </w:tcMar>
            <w:shd w:val="clear" w:color="auto" w:fill="F8FAFC"/>
          </w:tcPr>
          <w:p>
            <w:r>
              <w:rPr>
                <w:rFonts w:ascii="Times New Roman" w:hAnsi="Times New Roman"/>
                <w:sz w:val="19"/>
              </w:rPr>
              <w:t>Mức tiền lương làm căn cứ đóng BHXH bắt buộc</w:t>
            </w:r>
          </w:p>
        </w:tc>
        <w:tc>
          <w:tcPr>
            <w:tcW w:type="dxa" w:w="2484"/>
            <w:tcMar>
              <w:top w:w="80" w:type="dxa"/>
              <w:bottom w:w="80" w:type="dxa"/>
              <w:left w:w="100" w:type="dxa"/>
              <w:right w:w="100" w:type="dxa"/>
            </w:tcMar>
            <w:shd w:val="clear" w:color="auto" w:fill="FFFFFF"/>
          </w:tcPr>
          <w:p>
            <w:r>
              <w:rPr>
                <w:rFonts w:ascii="Times New Roman" w:hAnsi="Times New Roman"/>
                <w:sz w:val="19"/>
              </w:rPr>
              <w:t>Không được thấp hơn mức lương tối thiểu vùng theo quy định mới nhất</w:t>
            </w:r>
          </w:p>
        </w:tc>
      </w:tr>
      <w:tr>
        <w:tc>
          <w:tcPr>
            <w:tcW w:type="dxa" w:w="2484"/>
            <w:tcMar>
              <w:top w:w="80" w:type="dxa"/>
              <w:bottom w:w="80" w:type="dxa"/>
              <w:left w:w="100" w:type="dxa"/>
              <w:right w:w="100" w:type="dxa"/>
            </w:tcMar>
            <w:shd w:val="clear" w:color="auto" w:fill="F8FAFC"/>
          </w:tcPr>
          <w:p>
            <w:r>
              <w:rPr>
                <w:rFonts w:ascii="Times New Roman" w:hAnsi="Times New Roman"/>
                <w:sz w:val="19"/>
              </w:rPr>
              <w:t>Cột 7-11</w:t>
            </w:r>
          </w:p>
        </w:tc>
        <w:tc>
          <w:tcPr>
            <w:tcW w:type="dxa" w:w="2484"/>
            <w:tcMar>
              <w:top w:w="80" w:type="dxa"/>
              <w:bottom w:w="80" w:type="dxa"/>
              <w:left w:w="100" w:type="dxa"/>
              <w:right w:w="100" w:type="dxa"/>
            </w:tcMar>
            <w:shd w:val="clear" w:color="auto" w:fill="FFFFFF"/>
          </w:tcPr>
          <w:p>
            <w:r>
              <w:rPr>
                <w:rFonts w:ascii="Times New Roman" w:hAnsi="Times New Roman"/>
                <w:sz w:val="19"/>
              </w:rPr>
              <w:t>Phụ cấp lương</w:t>
            </w:r>
          </w:p>
        </w:tc>
        <w:tc>
          <w:tcPr>
            <w:tcW w:type="dxa" w:w="2484"/>
            <w:tcMar>
              <w:top w:w="80" w:type="dxa"/>
              <w:bottom w:w="80" w:type="dxa"/>
              <w:left w:w="100" w:type="dxa"/>
              <w:right w:w="100" w:type="dxa"/>
            </w:tcMar>
            <w:shd w:val="clear" w:color="auto" w:fill="F8FAFC"/>
          </w:tcPr>
          <w:p>
            <w:r>
              <w:rPr>
                <w:rFonts w:ascii="Times New Roman" w:hAnsi="Times New Roman"/>
                <w:sz w:val="19"/>
              </w:rPr>
              <w:t>Phụ cấp chức vụ, thâm niên, phụ cấp lương khác</w:t>
            </w:r>
          </w:p>
        </w:tc>
        <w:tc>
          <w:tcPr>
            <w:tcW w:type="dxa" w:w="2484"/>
            <w:tcMar>
              <w:top w:w="80" w:type="dxa"/>
              <w:bottom w:w="80" w:type="dxa"/>
              <w:left w:w="100" w:type="dxa"/>
              <w:right w:w="100" w:type="dxa"/>
            </w:tcMar>
            <w:shd w:val="clear" w:color="auto" w:fill="FFFFFF"/>
          </w:tcPr>
          <w:p>
            <w:r>
              <w:rPr>
                <w:rFonts w:ascii="Times New Roman" w:hAnsi="Times New Roman"/>
                <w:sz w:val="19"/>
              </w:rPr>
              <w:t>Ghi rõ các khoản phụ cấp có tính chất tiền lương cố định hàng tháng</w:t>
            </w:r>
          </w:p>
        </w:tc>
      </w:tr>
      <w:tr>
        <w:tc>
          <w:tcPr>
            <w:tcW w:type="dxa" w:w="2484"/>
            <w:tcMar>
              <w:top w:w="80" w:type="dxa"/>
              <w:bottom w:w="80" w:type="dxa"/>
              <w:left w:w="100" w:type="dxa"/>
              <w:right w:w="100" w:type="dxa"/>
            </w:tcMar>
            <w:shd w:val="clear" w:color="auto" w:fill="F8FAFC"/>
          </w:tcPr>
          <w:p>
            <w:r>
              <w:rPr>
                <w:rFonts w:ascii="Times New Roman" w:hAnsi="Times New Roman"/>
                <w:sz w:val="19"/>
              </w:rPr>
              <w:t>Cột 12-14</w:t>
            </w:r>
          </w:p>
        </w:tc>
        <w:tc>
          <w:tcPr>
            <w:tcW w:type="dxa" w:w="2484"/>
            <w:tcMar>
              <w:top w:w="80" w:type="dxa"/>
              <w:bottom w:w="80" w:type="dxa"/>
              <w:left w:w="100" w:type="dxa"/>
              <w:right w:w="100" w:type="dxa"/>
            </w:tcMar>
            <w:shd w:val="clear" w:color="auto" w:fill="FFFFFF"/>
          </w:tcPr>
          <w:p>
            <w:r>
              <w:rPr>
                <w:rFonts w:ascii="Times New Roman" w:hAnsi="Times New Roman"/>
                <w:sz w:val="19"/>
              </w:rPr>
              <w:t>Hệ số, tỷ lệ đóng</w:t>
            </w:r>
          </w:p>
        </w:tc>
        <w:tc>
          <w:tcPr>
            <w:tcW w:type="dxa" w:w="2484"/>
            <w:tcMar>
              <w:top w:w="80" w:type="dxa"/>
              <w:bottom w:w="80" w:type="dxa"/>
              <w:left w:w="100" w:type="dxa"/>
              <w:right w:w="100" w:type="dxa"/>
            </w:tcMar>
            <w:shd w:val="clear" w:color="auto" w:fill="F8FAFC"/>
          </w:tcPr>
          <w:p>
            <w:r>
              <w:rPr>
                <w:rFonts w:ascii="Times New Roman" w:hAnsi="Times New Roman"/>
                <w:sz w:val="19"/>
              </w:rPr>
              <w:t>Tỷ lệ đóng bảo hiểm theo từng chế độ</w:t>
            </w:r>
          </w:p>
        </w:tc>
        <w:tc>
          <w:tcPr>
            <w:tcW w:type="dxa" w:w="2484"/>
            <w:tcMar>
              <w:top w:w="80" w:type="dxa"/>
              <w:bottom w:w="80" w:type="dxa"/>
              <w:left w:w="100" w:type="dxa"/>
              <w:right w:w="100" w:type="dxa"/>
            </w:tcMar>
            <w:shd w:val="clear" w:color="auto" w:fill="FFFFFF"/>
          </w:tcPr>
          <w:p>
            <w:r>
              <w:rPr>
                <w:rFonts w:ascii="Times New Roman" w:hAnsi="Times New Roman"/>
                <w:sz w:val="19"/>
              </w:rPr>
              <w:t>Quy định hiện hành: BHXH 25.5%, BHYT 4.5%, BHTN 2% (tổng cộng 32%)</w:t>
            </w:r>
          </w:p>
        </w:tc>
      </w:tr>
      <w:tr>
        <w:tc>
          <w:tcPr>
            <w:tcW w:type="dxa" w:w="2484"/>
            <w:tcMar>
              <w:top w:w="80" w:type="dxa"/>
              <w:bottom w:w="80" w:type="dxa"/>
              <w:left w:w="100" w:type="dxa"/>
              <w:right w:w="100" w:type="dxa"/>
            </w:tcMar>
            <w:shd w:val="clear" w:color="auto" w:fill="F8FAFC"/>
          </w:tcPr>
          <w:p>
            <w:r>
              <w:rPr>
                <w:rFonts w:ascii="Times New Roman" w:hAnsi="Times New Roman"/>
                <w:sz w:val="19"/>
              </w:rPr>
              <w:t>Cột 15, 16</w:t>
            </w:r>
          </w:p>
        </w:tc>
        <w:tc>
          <w:tcPr>
            <w:tcW w:type="dxa" w:w="2484"/>
            <w:tcMar>
              <w:top w:w="80" w:type="dxa"/>
              <w:bottom w:w="80" w:type="dxa"/>
              <w:left w:w="100" w:type="dxa"/>
              <w:right w:w="100" w:type="dxa"/>
            </w:tcMar>
            <w:shd w:val="clear" w:color="auto" w:fill="FFFFFF"/>
          </w:tcPr>
          <w:p>
            <w:r>
              <w:rPr>
                <w:rFonts w:ascii="Times New Roman" w:hAnsi="Times New Roman"/>
                <w:sz w:val="19"/>
              </w:rPr>
              <w:t>Từ tháng năm - Đến tháng</w:t>
            </w:r>
          </w:p>
        </w:tc>
        <w:tc>
          <w:tcPr>
            <w:tcW w:type="dxa" w:w="2484"/>
            <w:tcMar>
              <w:top w:w="80" w:type="dxa"/>
              <w:bottom w:w="80" w:type="dxa"/>
              <w:left w:w="100" w:type="dxa"/>
              <w:right w:w="100" w:type="dxa"/>
            </w:tcMar>
            <w:shd w:val="clear" w:color="auto" w:fill="F8FAFC"/>
          </w:tcPr>
          <w:p>
            <w:r>
              <w:rPr>
                <w:rFonts w:ascii="Times New Roman" w:hAnsi="Times New Roman"/>
                <w:sz w:val="19"/>
              </w:rPr>
              <w:t>Thời gian bắt đầu tham gia hoặc thời gian biến động</w:t>
            </w:r>
          </w:p>
        </w:tc>
        <w:tc>
          <w:tcPr>
            <w:tcW w:type="dxa" w:w="2484"/>
            <w:tcMar>
              <w:top w:w="80" w:type="dxa"/>
              <w:bottom w:w="80" w:type="dxa"/>
              <w:left w:w="100" w:type="dxa"/>
              <w:right w:w="100" w:type="dxa"/>
            </w:tcMar>
            <w:shd w:val="clear" w:color="auto" w:fill="FFFFFF"/>
          </w:tcPr>
          <w:p>
            <w:r>
              <w:rPr>
                <w:rFonts w:ascii="Times New Roman" w:hAnsi="Times New Roman"/>
                <w:sz w:val="19"/>
              </w:rPr>
              <w:t>Định dạng MM/YYYY. Ví dụ bắt đầu từ tháng 10/2026 thì ghi 10/2026</w:t>
            </w:r>
          </w:p>
        </w:tc>
      </w:tr>
      <w:tr>
        <w:tc>
          <w:tcPr>
            <w:tcW w:type="dxa" w:w="2484"/>
            <w:tcMar>
              <w:top w:w="80" w:type="dxa"/>
              <w:bottom w:w="80" w:type="dxa"/>
              <w:left w:w="100" w:type="dxa"/>
              <w:right w:w="100" w:type="dxa"/>
            </w:tcMar>
            <w:shd w:val="clear" w:color="auto" w:fill="F8FAFC"/>
          </w:tcPr>
          <w:p>
            <w:r>
              <w:rPr>
                <w:rFonts w:ascii="Times New Roman" w:hAnsi="Times New Roman"/>
                <w:sz w:val="19"/>
              </w:rPr>
              <w:t>Cột 17</w:t>
            </w:r>
          </w:p>
        </w:tc>
        <w:tc>
          <w:tcPr>
            <w:tcW w:type="dxa" w:w="2484"/>
            <w:tcMar>
              <w:top w:w="80" w:type="dxa"/>
              <w:bottom w:w="80" w:type="dxa"/>
              <w:left w:w="100" w:type="dxa"/>
              <w:right w:w="100" w:type="dxa"/>
            </w:tcMar>
            <w:shd w:val="clear" w:color="auto" w:fill="FFFFFF"/>
          </w:tcPr>
          <w:p>
            <w:r>
              <w:rPr>
                <w:rFonts w:ascii="Times New Roman" w:hAnsi="Times New Roman"/>
                <w:sz w:val="19"/>
              </w:rPr>
              <w:t>Phương án biến động (Ghi chú)</w:t>
            </w:r>
          </w:p>
        </w:tc>
        <w:tc>
          <w:tcPr>
            <w:tcW w:type="dxa" w:w="2484"/>
            <w:tcMar>
              <w:top w:w="80" w:type="dxa"/>
              <w:bottom w:w="80" w:type="dxa"/>
              <w:left w:w="100" w:type="dxa"/>
              <w:right w:w="100" w:type="dxa"/>
            </w:tcMar>
            <w:shd w:val="clear" w:color="auto" w:fill="F8FAFC"/>
          </w:tcPr>
          <w:p>
            <w:r>
              <w:rPr>
                <w:rFonts w:ascii="Times New Roman" w:hAnsi="Times New Roman"/>
                <w:sz w:val="19"/>
              </w:rPr>
              <w:t>Ký hiệu loại biến động: TM (Tăng mới), ĐC (Điều chỉnh), GH (Giảm hẳn)</w:t>
            </w:r>
          </w:p>
        </w:tc>
        <w:tc>
          <w:tcPr>
            <w:tcW w:type="dxa" w:w="2484"/>
            <w:tcMar>
              <w:top w:w="80" w:type="dxa"/>
              <w:bottom w:w="80" w:type="dxa"/>
              <w:left w:w="100" w:type="dxa"/>
              <w:right w:w="100" w:type="dxa"/>
            </w:tcMar>
            <w:shd w:val="clear" w:color="auto" w:fill="FFFFFF"/>
          </w:tcPr>
          <w:p>
            <w:r>
              <w:rPr>
                <w:rFonts w:ascii="Times New Roman" w:hAnsi="Times New Roman"/>
                <w:sz w:val="19"/>
              </w:rPr>
              <w:t>Điền chuẩn xác ký hiệu để phần mềm tự động tính toán nghĩa vụ tiền đóng</w:t>
            </w:r>
          </w:p>
        </w:tc>
      </w:tr>
    </w:tbl>
    <w:p>
      <w:pPr>
        <w:pStyle w:val="Heading1"/>
      </w:pPr>
      <w:r>
        <w:t>III. MẪU CÔNG VĂN ĐỀ NGHỊ CẤP MÃ ĐƠN VỊ THAM GIA BHXH LẦN ĐẦU</w:t>
      </w:r>
    </w:p>
    <w:p>
      <w:r>
        <w:rPr>
          <w:b/>
        </w:rPr>
        <w:t>Kính gửi: BẢO HIỂM XÃ HỘI QUẬN/HUYỆN/THỊ XÃ ........................................</w:t>
        <w:br/>
        <w:br/>
      </w:r>
      <w:r>
        <w:t>Tên đơn vị sử dụng lao động: CÔNG TY ........................................................</w:t>
        <w:br/>
        <w:t>Mã số thuế / Mã số doanh nghiệp: ........................................................</w:t>
        <w:br/>
        <w:t>Địa chỉ trụ sở chính theo ĐKKD: ........................................................</w:t>
        <w:br/>
        <w:t>Địa chỉ giao dịch / nhận thông báo: ........................................................</w:t>
        <w:br/>
        <w:t>Người đại diện theo pháp luật: ................................ Chức vụ: Giám đốc</w:t>
        <w:br/>
        <w:t>Số điện thoại liên hệ: ................................ Email: ................................</w:t>
        <w:br/>
        <w:t>Tài khoản ngân hàng: ................................ tại Ngân hàng: ................................</w:t>
        <w:br/>
        <w:br/>
        <w:t>Căn cứ Luật Bảo hiểm xã hội và các Nghị định hướng dẫn thi hành, Công ty chúng tôi được thành lập và chính thức đi vào hoạt động theo Giấy chứng nhận ĐKDN số .............. do Sở Kế hoạch và Đầu tư cấp ngày ..../..../20.... Nay Công ty chúng tôi đã ký kết Hợp đồng lao động với người lao động và có nghĩa vụ tham gia BHXH, BHYT, BHTN bắt buộc.</w:t>
        <w:br/>
        <w:br/>
        <w:t>Công ty chúng tôi kính đề nghị Cơ quan Bảo hiểm xã hội xem xét và cấp Mã đơn vị quản lý thu BHXH lần đầu cho đơn vị chúng tôi để kịp thời thực hiện kê khai, trích nộp bảo hiểm theo đúng quy định pháp luật.</w:t>
        <w:br/>
        <w:br/>
        <w:t>Hồ sơ đính kèm gồm có:</w:t>
        <w:br/>
        <w:t>1. Bản sao Giấy chứng nhận đăng ký doanh nghiệp;</w:t>
        <w:br/>
        <w:t>2. Tờ khai đơn vị tham gia BHXH (Mẫu TK3-TS);</w:t>
        <w:br/>
        <w:t>3. Danh sách lao động tham gia BHXH, BHYT (Mẫu D02-LT);</w:t>
        <w:br/>
        <w:t>4. Bản sao Hợp đồng lao động của người lao động.</w:t>
        <w:br/>
        <w:br/>
        <w:t>Chúng tôi cam kết toàn bộ thông tin kê khai trên là hoàn toàn chính xác và chịu mọi trách nhiệm trước pháp luật./.</w:t>
        <w:br/>
        <w:br/>
        <w:t xml:space="preserve">                                                   ĐẠI DIỆN THEO PHÁP LUẬT CỦA CÔNG TY</w:t>
        <w:br/>
        <w:t xml:space="preserve">                                                                (Ký, ghi rõ họ tên và đóng dấu)</w:t>
        <w:br/>
      </w:r>
    </w:p>
    <w:p>
      <w:pPr>
        <w:pStyle w:val="Heading1"/>
      </w:pPr>
      <w:r>
        <w:t>IV. SỔ TAY KHẮC PHỤC 10 LỖI CHỮ KÝ SỐ THƯỜNG GẶP TRÊN PHẦN MỀM eBHXH TRONG 60 GIÂY</w:t>
      </w:r>
    </w:p>
    <w:p>
      <w:r>
        <w:t>Khi nộp hồ sơ eBHXH qua Cổng Dịch vụ công hoặc qua các phần mềm IVAN (Viettel-vBHXH, VNPT-509, EFY-eBHXH, Bkav-IVAN), kế toán thường gặp các lỗi kỹ thuật sau:</w:t>
        <w:br/>
      </w:r>
    </w:p>
    <w:tbl>
      <w:tblPr>
        <w:tblW w:type="auto" w:w="0"/>
        <w:jc w:val="center"/>
        <w:tblLook w:firstColumn="1" w:firstRow="1" w:lastColumn="0" w:lastRow="0" w:noHBand="0" w:noVBand="1" w:val="04A0"/>
      </w:tblPr>
      <w:tblGrid>
        <w:gridCol w:w="3312"/>
        <w:gridCol w:w="3312"/>
        <w:gridCol w:w="3312"/>
      </w:tblGrid>
      <w:tr>
        <w:tc>
          <w:tcPr>
            <w:tcW w:type="dxa" w:w="3312"/>
            <w:shd w:val="clear" w:color="auto" w:fill="1E293B"/>
            <w:tcMar>
              <w:top w:w="120" w:type="dxa"/>
              <w:bottom w:w="120" w:type="dxa"/>
              <w:left w:w="150" w:type="dxa"/>
              <w:right w:w="150" w:type="dxa"/>
            </w:tcMar>
          </w:tcPr>
          <w:p>
            <w:r>
              <w:rPr>
                <w:rFonts w:ascii="Times New Roman" w:hAnsi="Times New Roman"/>
                <w:b/>
                <w:color w:val="FFFFFF"/>
                <w:sz w:val="20"/>
              </w:rPr>
              <w:t>Mã lỗi / Thông báo hiển thị</w:t>
            </w:r>
          </w:p>
        </w:tc>
        <w:tc>
          <w:tcPr>
            <w:tcW w:type="dxa" w:w="3312"/>
            <w:shd w:val="clear" w:color="auto" w:fill="1E293B"/>
            <w:tcMar>
              <w:top w:w="120" w:type="dxa"/>
              <w:bottom w:w="120" w:type="dxa"/>
              <w:left w:w="150" w:type="dxa"/>
              <w:right w:w="150" w:type="dxa"/>
            </w:tcMar>
          </w:tcPr>
          <w:p>
            <w:r>
              <w:rPr>
                <w:rFonts w:ascii="Times New Roman" w:hAnsi="Times New Roman"/>
                <w:b/>
                <w:color w:val="FFFFFF"/>
                <w:sz w:val="20"/>
              </w:rPr>
              <w:t>Nguyên nhân kỹ thuật</w:t>
            </w:r>
          </w:p>
        </w:tc>
        <w:tc>
          <w:tcPr>
            <w:tcW w:type="dxa" w:w="3312"/>
            <w:shd w:val="clear" w:color="auto" w:fill="1E293B"/>
            <w:tcMar>
              <w:top w:w="120" w:type="dxa"/>
              <w:bottom w:w="120" w:type="dxa"/>
              <w:left w:w="150" w:type="dxa"/>
              <w:right w:w="150" w:type="dxa"/>
            </w:tcMar>
          </w:tcPr>
          <w:p>
            <w:r>
              <w:rPr>
                <w:rFonts w:ascii="Times New Roman" w:hAnsi="Times New Roman"/>
                <w:b/>
                <w:color w:val="FFFFFF"/>
                <w:sz w:val="20"/>
              </w:rPr>
              <w:t>Giải pháp xử lý dứt điểm trong 60 giây</w:t>
            </w:r>
          </w:p>
        </w:tc>
      </w:tr>
      <w:tr>
        <w:tc>
          <w:tcPr>
            <w:tcW w:type="dxa" w:w="3312"/>
            <w:tcMar>
              <w:top w:w="80" w:type="dxa"/>
              <w:bottom w:w="80" w:type="dxa"/>
              <w:left w:w="100" w:type="dxa"/>
              <w:right w:w="100" w:type="dxa"/>
            </w:tcMar>
            <w:shd w:val="clear" w:color="auto" w:fill="F8FAFC"/>
          </w:tcPr>
          <w:p>
            <w:r>
              <w:rPr>
                <w:rFonts w:ascii="Times New Roman" w:hAnsi="Times New Roman"/>
                <w:sz w:val="19"/>
              </w:rPr>
              <w:t>Lỗi 1: 'Chứng thư số chưa đăng ký với cơ quan BHXH'</w:t>
            </w:r>
          </w:p>
        </w:tc>
        <w:tc>
          <w:tcPr>
            <w:tcW w:type="dxa" w:w="3312"/>
            <w:tcMar>
              <w:top w:w="80" w:type="dxa"/>
              <w:bottom w:w="80" w:type="dxa"/>
              <w:left w:w="100" w:type="dxa"/>
              <w:right w:w="100" w:type="dxa"/>
            </w:tcMar>
            <w:shd w:val="clear" w:color="auto" w:fill="FFFFFF"/>
          </w:tcPr>
          <w:p>
            <w:r>
              <w:rPr>
                <w:rFonts w:ascii="Times New Roman" w:hAnsi="Times New Roman"/>
                <w:sz w:val="19"/>
              </w:rPr>
              <w:t>Doanh nghiệp vừa gia hạn hoặc đổi nhà cung cấp CKS nhưng chưa cập nhật Serial mới trên Cổng BHXH.</w:t>
            </w:r>
          </w:p>
        </w:tc>
        <w:tc>
          <w:tcPr>
            <w:tcW w:type="dxa" w:w="3312"/>
            <w:tcMar>
              <w:top w:w="80" w:type="dxa"/>
              <w:bottom w:w="80" w:type="dxa"/>
              <w:left w:w="100" w:type="dxa"/>
              <w:right w:w="100" w:type="dxa"/>
            </w:tcMar>
            <w:shd w:val="clear" w:color="auto" w:fill="FFFFFF"/>
          </w:tcPr>
          <w:p>
            <w:r>
              <w:rPr>
                <w:rFonts w:ascii="Times New Roman" w:hAnsi="Times New Roman"/>
                <w:sz w:val="19"/>
              </w:rPr>
              <w:t>Đăng nhập vào dichvucong.baohiemxahoi.gov.vn -&gt; Chọn mục Thông tin tài khoản -&gt; Thay đổi thông tin -&gt; Bấm nút Cập nhật chứng thư số -&gt; Ký số xác thực.</w:t>
            </w:r>
          </w:p>
        </w:tc>
      </w:tr>
      <w:tr>
        <w:tc>
          <w:tcPr>
            <w:tcW w:type="dxa" w:w="3312"/>
            <w:tcMar>
              <w:top w:w="80" w:type="dxa"/>
              <w:bottom w:w="80" w:type="dxa"/>
              <w:left w:w="100" w:type="dxa"/>
              <w:right w:w="100" w:type="dxa"/>
            </w:tcMar>
            <w:shd w:val="clear" w:color="auto" w:fill="F8FAFC"/>
          </w:tcPr>
          <w:p>
            <w:r>
              <w:rPr>
                <w:rFonts w:ascii="Times New Roman" w:hAnsi="Times New Roman"/>
                <w:sz w:val="19"/>
              </w:rPr>
              <w:t>Lỗi 2: 'Không tìm thấy USB Token hoặc thiết bị ký số'</w:t>
            </w:r>
          </w:p>
        </w:tc>
        <w:tc>
          <w:tcPr>
            <w:tcW w:type="dxa" w:w="3312"/>
            <w:tcMar>
              <w:top w:w="80" w:type="dxa"/>
              <w:bottom w:w="80" w:type="dxa"/>
              <w:left w:w="100" w:type="dxa"/>
              <w:right w:w="100" w:type="dxa"/>
            </w:tcMar>
            <w:shd w:val="clear" w:color="auto" w:fill="FFFFFF"/>
          </w:tcPr>
          <w:p>
            <w:r>
              <w:rPr>
                <w:rFonts w:ascii="Times New Roman" w:hAnsi="Times New Roman"/>
                <w:sz w:val="19"/>
              </w:rPr>
              <w:t>Chưa cắm USB Token, lỏng cổng USB hoặc chưa cài đặt Driver Token Manager của nhà cung cấp.</w:t>
            </w:r>
          </w:p>
        </w:tc>
        <w:tc>
          <w:tcPr>
            <w:tcW w:type="dxa" w:w="3312"/>
            <w:tcMar>
              <w:top w:w="80" w:type="dxa"/>
              <w:bottom w:w="80" w:type="dxa"/>
              <w:left w:w="100" w:type="dxa"/>
              <w:right w:w="100" w:type="dxa"/>
            </w:tcMar>
            <w:shd w:val="clear" w:color="auto" w:fill="FFFFFF"/>
          </w:tcPr>
          <w:p>
            <w:r>
              <w:rPr>
                <w:rFonts w:ascii="Times New Roman" w:hAnsi="Times New Roman"/>
                <w:sz w:val="19"/>
              </w:rPr>
              <w:t>Cắm lại Token sang cổng USB trực tiếp trên thân máy, mở Token Manager kiểm tra xem máy tính đã nhận tên công ty chưa. Nếu chưa có Driver thì cài đặt ngay.</w:t>
            </w:r>
          </w:p>
        </w:tc>
      </w:tr>
      <w:tr>
        <w:tc>
          <w:tcPr>
            <w:tcW w:type="dxa" w:w="3312"/>
            <w:tcMar>
              <w:top w:w="80" w:type="dxa"/>
              <w:bottom w:w="80" w:type="dxa"/>
              <w:left w:w="100" w:type="dxa"/>
              <w:right w:w="100" w:type="dxa"/>
            </w:tcMar>
            <w:shd w:val="clear" w:color="auto" w:fill="F8FAFC"/>
          </w:tcPr>
          <w:p>
            <w:r>
              <w:rPr>
                <w:rFonts w:ascii="Times New Roman" w:hAnsi="Times New Roman"/>
                <w:sz w:val="19"/>
              </w:rPr>
              <w:t>Lỗi 3: 'Mã PIN không đúng hoặc Token bị khóa'</w:t>
            </w:r>
          </w:p>
        </w:tc>
        <w:tc>
          <w:tcPr>
            <w:tcW w:type="dxa" w:w="3312"/>
            <w:tcMar>
              <w:top w:w="80" w:type="dxa"/>
              <w:bottom w:w="80" w:type="dxa"/>
              <w:left w:w="100" w:type="dxa"/>
              <w:right w:w="100" w:type="dxa"/>
            </w:tcMar>
            <w:shd w:val="clear" w:color="auto" w:fill="FFFFFF"/>
          </w:tcPr>
          <w:p>
            <w:r>
              <w:rPr>
                <w:rFonts w:ascii="Times New Roman" w:hAnsi="Times New Roman"/>
                <w:sz w:val="19"/>
              </w:rPr>
              <w:t>Nhập sai mã PIN quá 3 - 5 lần liên tiếp khiến USB Token tự động khóa bảo mật chống xâm nhập.</w:t>
            </w:r>
          </w:p>
        </w:tc>
        <w:tc>
          <w:tcPr>
            <w:tcW w:type="dxa" w:w="3312"/>
            <w:tcMar>
              <w:top w:w="80" w:type="dxa"/>
              <w:bottom w:w="80" w:type="dxa"/>
              <w:left w:w="100" w:type="dxa"/>
              <w:right w:w="100" w:type="dxa"/>
            </w:tcMar>
            <w:shd w:val="clear" w:color="auto" w:fill="FFFFFF"/>
          </w:tcPr>
          <w:p>
            <w:r>
              <w:rPr>
                <w:rFonts w:ascii="Times New Roman" w:hAnsi="Times New Roman"/>
                <w:sz w:val="19"/>
              </w:rPr>
              <w:t>Liên hệ ngay tổng đài Chữ Ký Số Tốt (0357.226.866) hoặc mở phần mềm Token Manager của nhà mạng để yêu cầu gửi lệnh Mở khóa PIN (Unlock PIN) từ xa.</w:t>
            </w:r>
          </w:p>
        </w:tc>
      </w:tr>
      <w:tr>
        <w:tc>
          <w:tcPr>
            <w:tcW w:type="dxa" w:w="3312"/>
            <w:tcMar>
              <w:top w:w="80" w:type="dxa"/>
              <w:bottom w:w="80" w:type="dxa"/>
              <w:left w:w="100" w:type="dxa"/>
              <w:right w:w="100" w:type="dxa"/>
            </w:tcMar>
            <w:shd w:val="clear" w:color="auto" w:fill="F8FAFC"/>
          </w:tcPr>
          <w:p>
            <w:r>
              <w:rPr>
                <w:rFonts w:ascii="Times New Roman" w:hAnsi="Times New Roman"/>
                <w:sz w:val="19"/>
              </w:rPr>
              <w:t>Lỗi 4: 'Chứng thư số hết hạn sử dụng (Expired)'</w:t>
            </w:r>
          </w:p>
        </w:tc>
        <w:tc>
          <w:tcPr>
            <w:tcW w:type="dxa" w:w="3312"/>
            <w:tcMar>
              <w:top w:w="80" w:type="dxa"/>
              <w:bottom w:w="80" w:type="dxa"/>
              <w:left w:w="100" w:type="dxa"/>
              <w:right w:w="100" w:type="dxa"/>
            </w:tcMar>
            <w:shd w:val="clear" w:color="auto" w:fill="FFFFFF"/>
          </w:tcPr>
          <w:p>
            <w:r>
              <w:rPr>
                <w:rFonts w:ascii="Times New Roman" w:hAnsi="Times New Roman"/>
                <w:sz w:val="19"/>
              </w:rPr>
              <w:t>Thời hạn hiệu lực của chứng thư số đã kết thúc trước thời điểm ký nộp hồ sơ bảo hiểm.</w:t>
            </w:r>
          </w:p>
        </w:tc>
        <w:tc>
          <w:tcPr>
            <w:tcW w:type="dxa" w:w="3312"/>
            <w:tcMar>
              <w:top w:w="80" w:type="dxa"/>
              <w:bottom w:w="80" w:type="dxa"/>
              <w:left w:w="100" w:type="dxa"/>
              <w:right w:w="100" w:type="dxa"/>
            </w:tcMar>
            <w:shd w:val="clear" w:color="auto" w:fill="FFFFFF"/>
          </w:tcPr>
          <w:p>
            <w:r>
              <w:rPr>
                <w:rFonts w:ascii="Times New Roman" w:hAnsi="Times New Roman"/>
                <w:sz w:val="19"/>
              </w:rPr>
              <w:t>Tra cứu thời hạn trên Token Manager; liên hệ đại lý Chữ Ký Số Tốt để làm thủ tục cấp bù thời hạn hoặc gia hạn hỏa tốc trong 15 phút không gián đoạn.</w:t>
            </w:r>
          </w:p>
        </w:tc>
      </w:tr>
      <w:tr>
        <w:tc>
          <w:tcPr>
            <w:tcW w:type="dxa" w:w="3312"/>
            <w:tcMar>
              <w:top w:w="80" w:type="dxa"/>
              <w:bottom w:w="80" w:type="dxa"/>
              <w:left w:w="100" w:type="dxa"/>
              <w:right w:w="100" w:type="dxa"/>
            </w:tcMar>
            <w:shd w:val="clear" w:color="auto" w:fill="F8FAFC"/>
          </w:tcPr>
          <w:p>
            <w:r>
              <w:rPr>
                <w:rFonts w:ascii="Times New Roman" w:hAnsi="Times New Roman"/>
                <w:sz w:val="19"/>
              </w:rPr>
              <w:t>Lỗi 5: 'Lỗi môi trường ký số Java eBHXH'</w:t>
            </w:r>
          </w:p>
        </w:tc>
        <w:tc>
          <w:tcPr>
            <w:tcW w:type="dxa" w:w="3312"/>
            <w:tcMar>
              <w:top w:w="80" w:type="dxa"/>
              <w:bottom w:w="80" w:type="dxa"/>
              <w:left w:w="100" w:type="dxa"/>
              <w:right w:w="100" w:type="dxa"/>
            </w:tcMar>
            <w:shd w:val="clear" w:color="auto" w:fill="FFFFFF"/>
          </w:tcPr>
          <w:p>
            <w:r>
              <w:rPr>
                <w:rFonts w:ascii="Times New Roman" w:hAnsi="Times New Roman"/>
                <w:sz w:val="19"/>
              </w:rPr>
              <w:t>Phiên bản Java cài trên máy tính bị xung đột, chưa cấp quyền ngoại lệ cho cổng dịch vụ công BHXH.</w:t>
            </w:r>
          </w:p>
        </w:tc>
        <w:tc>
          <w:tcPr>
            <w:tcW w:type="dxa" w:w="3312"/>
            <w:tcMar>
              <w:top w:w="80" w:type="dxa"/>
              <w:bottom w:w="80" w:type="dxa"/>
              <w:left w:w="100" w:type="dxa"/>
              <w:right w:w="100" w:type="dxa"/>
            </w:tcMar>
            <w:shd w:val="clear" w:color="auto" w:fill="FFFFFF"/>
          </w:tcPr>
          <w:p>
            <w:r>
              <w:rPr>
                <w:rFonts w:ascii="Times New Roman" w:hAnsi="Times New Roman"/>
                <w:sz w:val="19"/>
              </w:rPr>
              <w:t>Vào Configure Java -&gt; Tab Security -&gt; Edit Site List -&gt; Thêm http://dichvucong.baohiemxahoi.gov.vn và https://gddt.baohiemxahoi.gov.vn -&gt; Bấm OK.</w:t>
            </w:r>
          </w:p>
        </w:tc>
      </w:tr>
      <w:tr>
        <w:tc>
          <w:tcPr>
            <w:tcW w:type="dxa" w:w="3312"/>
            <w:tcMar>
              <w:top w:w="80" w:type="dxa"/>
              <w:bottom w:w="80" w:type="dxa"/>
              <w:left w:w="100" w:type="dxa"/>
              <w:right w:w="100" w:type="dxa"/>
            </w:tcMar>
            <w:shd w:val="clear" w:color="auto" w:fill="F8FAFC"/>
          </w:tcPr>
          <w:p>
            <w:r>
              <w:rPr>
                <w:rFonts w:ascii="Times New Roman" w:hAnsi="Times New Roman"/>
                <w:sz w:val="19"/>
              </w:rPr>
              <w:t>Lỗi 6: 'Thông tin MST của chứng thư số không khớp với đơn vị'</w:t>
            </w:r>
          </w:p>
        </w:tc>
        <w:tc>
          <w:tcPr>
            <w:tcW w:type="dxa" w:w="3312"/>
            <w:tcMar>
              <w:top w:w="80" w:type="dxa"/>
              <w:bottom w:w="80" w:type="dxa"/>
              <w:left w:w="100" w:type="dxa"/>
              <w:right w:w="100" w:type="dxa"/>
            </w:tcMar>
            <w:shd w:val="clear" w:color="auto" w:fill="FFFFFF"/>
          </w:tcPr>
          <w:p>
            <w:r>
              <w:rPr>
                <w:rFonts w:ascii="Times New Roman" w:hAnsi="Times New Roman"/>
                <w:sz w:val="19"/>
              </w:rPr>
              <w:t>Sử dụng nhầm USB Token của công ty khác hoặc Token cá nhân để ký hồ sơ nộp bảo hiểm xã hội.</w:t>
            </w:r>
          </w:p>
        </w:tc>
        <w:tc>
          <w:tcPr>
            <w:tcW w:type="dxa" w:w="3312"/>
            <w:tcMar>
              <w:top w:w="80" w:type="dxa"/>
              <w:bottom w:w="80" w:type="dxa"/>
              <w:left w:w="100" w:type="dxa"/>
              <w:right w:w="100" w:type="dxa"/>
            </w:tcMar>
            <w:shd w:val="clear" w:color="auto" w:fill="FFFFFF"/>
          </w:tcPr>
          <w:p>
            <w:r>
              <w:rPr>
                <w:rFonts w:ascii="Times New Roman" w:hAnsi="Times New Roman"/>
                <w:sz w:val="19"/>
              </w:rPr>
              <w:t>Kiểm tra lại tên doanh nghiệp và MST hiển thị trong cửa sổ chọn chứng thư số trước khi nhập PIN.</w:t>
            </w:r>
          </w:p>
        </w:tc>
      </w:tr>
      <w:tr>
        <w:tc>
          <w:tcPr>
            <w:tcW w:type="dxa" w:w="3312"/>
            <w:tcMar>
              <w:top w:w="80" w:type="dxa"/>
              <w:bottom w:w="80" w:type="dxa"/>
              <w:left w:w="100" w:type="dxa"/>
              <w:right w:w="100" w:type="dxa"/>
            </w:tcMar>
            <w:shd w:val="clear" w:color="auto" w:fill="F8FAFC"/>
          </w:tcPr>
          <w:p>
            <w:r>
              <w:rPr>
                <w:rFonts w:ascii="Times New Roman" w:hAnsi="Times New Roman"/>
                <w:sz w:val="19"/>
              </w:rPr>
              <w:t>Lỗi 7: 'Hồ sơ bị từ chối do sai lệch mã cơ quan BHXH'</w:t>
            </w:r>
          </w:p>
        </w:tc>
        <w:tc>
          <w:tcPr>
            <w:tcW w:type="dxa" w:w="3312"/>
            <w:tcMar>
              <w:top w:w="80" w:type="dxa"/>
              <w:bottom w:w="80" w:type="dxa"/>
              <w:left w:w="100" w:type="dxa"/>
              <w:right w:w="100" w:type="dxa"/>
            </w:tcMar>
            <w:shd w:val="clear" w:color="auto" w:fill="FFFFFF"/>
          </w:tcPr>
          <w:p>
            <w:r>
              <w:rPr>
                <w:rFonts w:ascii="Times New Roman" w:hAnsi="Times New Roman"/>
                <w:sz w:val="19"/>
              </w:rPr>
              <w:t>Đơn vị chọn sai cơ quan BHXH quản lý quận/huyện trực tiếp thu trên phần mềm kê khai eBHXH.</w:t>
            </w:r>
          </w:p>
        </w:tc>
        <w:tc>
          <w:tcPr>
            <w:tcW w:type="dxa" w:w="3312"/>
            <w:tcMar>
              <w:top w:w="80" w:type="dxa"/>
              <w:bottom w:w="80" w:type="dxa"/>
              <w:left w:w="100" w:type="dxa"/>
              <w:right w:w="100" w:type="dxa"/>
            </w:tcMar>
            <w:shd w:val="clear" w:color="auto" w:fill="FFFFFF"/>
          </w:tcPr>
          <w:p>
            <w:r>
              <w:rPr>
                <w:rFonts w:ascii="Times New Roman" w:hAnsi="Times New Roman"/>
                <w:sz w:val="19"/>
              </w:rPr>
              <w:t>Kiểm tra Thông báo cấp mã đơn vị của BHXH để chọn đúng cơ quan BHXH cấp quận/huyện nơi đơn vị đặt trụ sở.</w:t>
            </w:r>
          </w:p>
        </w:tc>
      </w:tr>
      <w:tr>
        <w:tc>
          <w:tcPr>
            <w:tcW w:type="dxa" w:w="3312"/>
            <w:tcMar>
              <w:top w:w="80" w:type="dxa"/>
              <w:bottom w:w="80" w:type="dxa"/>
              <w:left w:w="100" w:type="dxa"/>
              <w:right w:w="100" w:type="dxa"/>
            </w:tcMar>
            <w:shd w:val="clear" w:color="auto" w:fill="F8FAFC"/>
          </w:tcPr>
          <w:p>
            <w:r>
              <w:rPr>
                <w:rFonts w:ascii="Times New Roman" w:hAnsi="Times New Roman"/>
                <w:sz w:val="19"/>
              </w:rPr>
              <w:t>Lỗi 8: 'Lỗi đường truyền mạng hoặc máy chủ BHXH quá tải'</w:t>
            </w:r>
          </w:p>
        </w:tc>
        <w:tc>
          <w:tcPr>
            <w:tcW w:type="dxa" w:w="3312"/>
            <w:tcMar>
              <w:top w:w="80" w:type="dxa"/>
              <w:bottom w:w="80" w:type="dxa"/>
              <w:left w:w="100" w:type="dxa"/>
              <w:right w:w="100" w:type="dxa"/>
            </w:tcMar>
            <w:shd w:val="clear" w:color="auto" w:fill="FFFFFF"/>
          </w:tcPr>
          <w:p>
            <w:r>
              <w:rPr>
                <w:rFonts w:ascii="Times New Roman" w:hAnsi="Times New Roman"/>
                <w:sz w:val="19"/>
              </w:rPr>
              <w:t>Nộp hồ sơ vào các ngày cuối tháng (28-30 hàng tháng) khi lưu lượng truy cập cổng BHXH đạt đỉnh.</w:t>
            </w:r>
          </w:p>
        </w:tc>
        <w:tc>
          <w:tcPr>
            <w:tcW w:type="dxa" w:w="3312"/>
            <w:tcMar>
              <w:top w:w="80" w:type="dxa"/>
              <w:bottom w:w="80" w:type="dxa"/>
              <w:left w:w="100" w:type="dxa"/>
              <w:right w:w="100" w:type="dxa"/>
            </w:tcMar>
            <w:shd w:val="clear" w:color="auto" w:fill="FFFFFF"/>
          </w:tcPr>
          <w:p>
            <w:r>
              <w:rPr>
                <w:rFonts w:ascii="Times New Roman" w:hAnsi="Times New Roman"/>
                <w:sz w:val="19"/>
              </w:rPr>
              <w:t>Lưu lại tệp hồ sơ nháp, đổi sang mạng internet khác hoặc chuyển sang nộp vào khung giờ sáng sớm (7h00 - 8h00) hoặc buổi tối.</w:t>
            </w:r>
          </w:p>
        </w:tc>
      </w:tr>
      <w:tr>
        <w:tc>
          <w:tcPr>
            <w:tcW w:type="dxa" w:w="3312"/>
            <w:tcMar>
              <w:top w:w="80" w:type="dxa"/>
              <w:bottom w:w="80" w:type="dxa"/>
              <w:left w:w="100" w:type="dxa"/>
              <w:right w:w="100" w:type="dxa"/>
            </w:tcMar>
            <w:shd w:val="clear" w:color="auto" w:fill="F8FAFC"/>
          </w:tcPr>
          <w:p>
            <w:r>
              <w:rPr>
                <w:rFonts w:ascii="Times New Roman" w:hAnsi="Times New Roman"/>
                <w:sz w:val="19"/>
              </w:rPr>
              <w:t>Lỗi 9: 'Lỗi cấu trúc tệp XML không hợp lệ'</w:t>
            </w:r>
          </w:p>
        </w:tc>
        <w:tc>
          <w:tcPr>
            <w:tcW w:type="dxa" w:w="3312"/>
            <w:tcMar>
              <w:top w:w="80" w:type="dxa"/>
              <w:bottom w:w="80" w:type="dxa"/>
              <w:left w:w="100" w:type="dxa"/>
              <w:right w:w="100" w:type="dxa"/>
            </w:tcMar>
            <w:shd w:val="clear" w:color="auto" w:fill="FFFFFF"/>
          </w:tcPr>
          <w:p>
            <w:r>
              <w:rPr>
                <w:rFonts w:ascii="Times New Roman" w:hAnsi="Times New Roman"/>
                <w:sz w:val="19"/>
              </w:rPr>
              <w:t>Tệp xuất ra từ phần mềm kế toán bên ngoài thiếu thẻ dữ liệu quy chuẩn theo Quyết định 505/QĐ-BHXH.</w:t>
            </w:r>
          </w:p>
        </w:tc>
        <w:tc>
          <w:tcPr>
            <w:tcW w:type="dxa" w:w="3312"/>
            <w:tcMar>
              <w:top w:w="80" w:type="dxa"/>
              <w:bottom w:w="80" w:type="dxa"/>
              <w:left w:w="100" w:type="dxa"/>
              <w:right w:w="100" w:type="dxa"/>
            </w:tcMar>
            <w:shd w:val="clear" w:color="auto" w:fill="FFFFFF"/>
          </w:tcPr>
          <w:p>
            <w:r>
              <w:rPr>
                <w:rFonts w:ascii="Times New Roman" w:hAnsi="Times New Roman"/>
                <w:sz w:val="19"/>
              </w:rPr>
              <w:t>Sử dụng biểu mẫu Excel chuẩn D02-LT của Chữ Ký Số Tốt để import vào phần mềm eBHXH/IVAN, không tự ý chỉnh sửa tên cột.</w:t>
            </w:r>
          </w:p>
        </w:tc>
      </w:tr>
      <w:tr>
        <w:tc>
          <w:tcPr>
            <w:tcW w:type="dxa" w:w="3312"/>
            <w:tcMar>
              <w:top w:w="80" w:type="dxa"/>
              <w:bottom w:w="80" w:type="dxa"/>
              <w:left w:w="100" w:type="dxa"/>
              <w:right w:w="100" w:type="dxa"/>
            </w:tcMar>
            <w:shd w:val="clear" w:color="auto" w:fill="F8FAFC"/>
          </w:tcPr>
          <w:p>
            <w:r>
              <w:rPr>
                <w:rFonts w:ascii="Times New Roman" w:hAnsi="Times New Roman"/>
                <w:sz w:val="19"/>
              </w:rPr>
              <w:t>Lỗi 10: 'Hồ sơ đã nộp thành công nhưng không nhận được kết quả'</w:t>
            </w:r>
          </w:p>
        </w:tc>
        <w:tc>
          <w:tcPr>
            <w:tcW w:type="dxa" w:w="3312"/>
            <w:tcMar>
              <w:top w:w="80" w:type="dxa"/>
              <w:bottom w:w="80" w:type="dxa"/>
              <w:left w:w="100" w:type="dxa"/>
              <w:right w:w="100" w:type="dxa"/>
            </w:tcMar>
            <w:shd w:val="clear" w:color="auto" w:fill="FFFFFF"/>
          </w:tcPr>
          <w:p>
            <w:r>
              <w:rPr>
                <w:rFonts w:ascii="Times New Roman" w:hAnsi="Times New Roman"/>
                <w:sz w:val="19"/>
              </w:rPr>
              <w:t>Cán bộ thụ lý BHXH đang kiểm tra đối soát hồ sơ hoặc hồ sơ thiếu chứng từ đính kèm (HĐLĐ, CCCD).</w:t>
            </w:r>
          </w:p>
        </w:tc>
        <w:tc>
          <w:tcPr>
            <w:tcW w:type="dxa" w:w="3312"/>
            <w:tcMar>
              <w:top w:w="80" w:type="dxa"/>
              <w:bottom w:w="80" w:type="dxa"/>
              <w:left w:w="100" w:type="dxa"/>
              <w:right w:w="100" w:type="dxa"/>
            </w:tcMar>
            <w:shd w:val="clear" w:color="auto" w:fill="FFFFFF"/>
          </w:tcPr>
          <w:p>
            <w:r>
              <w:rPr>
                <w:rFonts w:ascii="Times New Roman" w:hAnsi="Times New Roman"/>
                <w:sz w:val="19"/>
              </w:rPr>
              <w:t>Vào mục Tra cứu hồ sơ trên Cổng Dịch vụ công để xem trạng thái chi tiết hoặc gọi trực tiếp cho Chuyên viên quản lý thu phụ trách đơn vị.</w:t>
            </w:r>
          </w:p>
        </w:tc>
      </w:tr>
    </w:tbl>
    <w:p>
      <w:r>
        <w:br/>
      </w:r>
    </w:p>
    <w:p>
      <w:pPr>
        <w:jc w:val="right"/>
      </w:pPr>
      <w:r>
        <w:rPr>
          <w:i/>
          <w:color w:val="64748B"/>
          <w:sz w:val="20"/>
        </w:rPr>
        <w:t>HỆ THỐNG CHỮ KÝ SỐ TỐT — CÔNG TY TNHH TM DV XNK MAI GIA</w:t>
        <w:br/>
        <w:t>Hotline hỗ trợ kỹ thuật và chữ ký số: 0357.226.866 | Website: chukysotot.vn</w:t>
        <w:br/>
      </w:r>
    </w:p>
    <w:sectPr w:rsidR="00FC693F" w:rsidRPr="0006063C"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